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758915D9" wp14:paraId="79D26599" wp14:textId="58EC8B38">
      <w:pPr>
        <w:pStyle w:val="Normal"/>
        <w:suppressLineNumbers w:val="0"/>
        <w:bidi w:val="0"/>
        <w:spacing w:before="240" w:beforeAutospacing="off" w:after="160" w:afterAutospacing="off" w:line="276" w:lineRule="auto"/>
        <w:ind w:left="0" w:right="0"/>
        <w:jc w:val="center"/>
        <w:rPr>
          <w:rFonts w:ascii="Arial" w:hAnsi="Arial" w:eastAsia="Arial" w:cs="Arial"/>
          <w:b w:val="1"/>
          <w:bCs w:val="1"/>
          <w:sz w:val="22"/>
          <w:szCs w:val="22"/>
        </w:rPr>
      </w:pPr>
      <w:r w:rsidRPr="758915D9" w:rsidR="419A112C">
        <w:rPr>
          <w:rFonts w:ascii="Arial" w:hAnsi="Arial" w:eastAsia="Arial" w:cs="Arial"/>
          <w:b w:val="1"/>
          <w:bCs w:val="1"/>
          <w:sz w:val="22"/>
          <w:szCs w:val="22"/>
        </w:rPr>
        <w:t xml:space="preserve">Ministerio de Minas y Energía </w:t>
      </w:r>
    </w:p>
    <w:p xmlns:wp14="http://schemas.microsoft.com/office/word/2010/wordml" w:rsidP="758915D9" wp14:paraId="7B621CE2" wp14:textId="269F2C7A">
      <w:pPr>
        <w:pStyle w:val="Normal"/>
        <w:suppressLineNumbers w:val="0"/>
        <w:bidi w:val="0"/>
        <w:spacing w:before="240" w:beforeAutospacing="off" w:after="160" w:afterAutospacing="off" w:line="276" w:lineRule="auto"/>
        <w:ind w:left="0" w:right="0"/>
        <w:jc w:val="left"/>
        <w:rPr>
          <w:rFonts w:ascii="Arial" w:hAnsi="Arial" w:eastAsia="Arial" w:cs="Arial"/>
          <w:noProof w:val="0"/>
          <w:sz w:val="22"/>
          <w:szCs w:val="22"/>
          <w:lang w:val="es-ES"/>
        </w:rPr>
      </w:pPr>
      <w:r w:rsidRPr="758915D9" w:rsidR="7E84706C">
        <w:rPr>
          <w:rFonts w:ascii="Arial" w:hAnsi="Arial" w:eastAsia="Arial" w:cs="Arial"/>
          <w:b w:val="1"/>
          <w:bCs w:val="1"/>
          <w:sz w:val="22"/>
          <w:szCs w:val="22"/>
        </w:rPr>
        <w:t>Proyecto de inversión:</w:t>
      </w:r>
      <w:r w:rsidRPr="758915D9" w:rsidR="7E84706C">
        <w:rPr>
          <w:rFonts w:ascii="Arial" w:hAnsi="Arial" w:eastAsia="Arial" w:cs="Arial"/>
          <w:sz w:val="22"/>
          <w:szCs w:val="22"/>
        </w:rPr>
        <w:t xml:space="preserve"> </w:t>
      </w:r>
      <w:r w:rsidRPr="758915D9" w:rsidR="7E84706C">
        <w:rPr>
          <w:rFonts w:ascii="Arial" w:hAnsi="Arial" w:eastAsia="Arial" w:cs="Arial"/>
          <w:noProof w:val="0"/>
          <w:sz w:val="22"/>
          <w:szCs w:val="22"/>
          <w:lang w:val="es-ES"/>
        </w:rPr>
        <w:t>Fortalecimiento del análisis estratégico sectorial y legislativo del Ministerio de Minas y Energía en el marco de la Transición Energética Justa</w:t>
      </w:r>
    </w:p>
    <w:p xmlns:wp14="http://schemas.microsoft.com/office/word/2010/wordml" w:rsidP="758915D9" wp14:paraId="0BEB627C" wp14:textId="44EBF0EC">
      <w:pPr>
        <w:pStyle w:val="Normal"/>
        <w:suppressLineNumbers w:val="0"/>
        <w:bidi w:val="0"/>
        <w:spacing w:before="240" w:beforeAutospacing="off" w:after="160" w:afterAutospacing="off" w:line="276" w:lineRule="auto"/>
        <w:ind w:left="0" w:right="0"/>
        <w:jc w:val="left"/>
        <w:rPr>
          <w:rFonts w:ascii="Arial" w:hAnsi="Arial" w:eastAsia="Arial" w:cs="Arial"/>
          <w:b w:val="1"/>
          <w:bCs w:val="1"/>
          <w:noProof w:val="0"/>
          <w:sz w:val="22"/>
          <w:szCs w:val="22"/>
          <w:lang w:val="es-ES"/>
        </w:rPr>
      </w:pPr>
      <w:r w:rsidRPr="758915D9" w:rsidR="7E84706C">
        <w:rPr>
          <w:rFonts w:ascii="Arial" w:hAnsi="Arial" w:eastAsia="Arial" w:cs="Arial"/>
          <w:b w:val="1"/>
          <w:bCs w:val="1"/>
          <w:noProof w:val="0"/>
          <w:sz w:val="22"/>
          <w:szCs w:val="22"/>
          <w:lang w:val="es-ES"/>
        </w:rPr>
        <w:t>Grupo de Asuntos Legislativos</w:t>
      </w:r>
    </w:p>
    <w:p xmlns:wp14="http://schemas.microsoft.com/office/word/2010/wordml" w:rsidP="758915D9" wp14:paraId="32E01F71" wp14:textId="40192F3F">
      <w:pPr>
        <w:pStyle w:val="Normal"/>
        <w:suppressLineNumbers w:val="0"/>
        <w:bidi w:val="0"/>
        <w:spacing w:before="240" w:beforeAutospacing="off" w:after="160" w:afterAutospacing="off" w:line="276" w:lineRule="auto"/>
        <w:ind w:left="0" w:right="0"/>
        <w:jc w:val="left"/>
        <w:rPr>
          <w:rFonts w:ascii="Arial" w:hAnsi="Arial" w:eastAsia="Arial" w:cs="Arial"/>
          <w:b w:val="1"/>
          <w:bCs w:val="1"/>
          <w:sz w:val="22"/>
          <w:szCs w:val="22"/>
        </w:rPr>
      </w:pPr>
      <w:r w:rsidRPr="758915D9" w:rsidR="7E84706C">
        <w:rPr>
          <w:rFonts w:ascii="Arial" w:hAnsi="Arial" w:eastAsia="Arial" w:cs="Arial"/>
          <w:b w:val="1"/>
          <w:bCs w:val="1"/>
          <w:sz w:val="22"/>
          <w:szCs w:val="22"/>
        </w:rPr>
        <w:t>Grupo Focal – Eje Legislativo</w:t>
      </w:r>
    </w:p>
    <w:p xmlns:wp14="http://schemas.microsoft.com/office/word/2010/wordml" w:rsidP="758915D9" wp14:paraId="63F33E71" wp14:textId="0CEE0BC3">
      <w:pPr>
        <w:pStyle w:val="Normal"/>
        <w:suppressLineNumbers w:val="0"/>
        <w:bidi w:val="0"/>
        <w:spacing w:before="240" w:beforeAutospacing="off" w:after="160" w:afterAutospacing="off" w:line="276" w:lineRule="auto"/>
        <w:ind w:left="0" w:right="0"/>
        <w:jc w:val="left"/>
        <w:rPr>
          <w:rFonts w:ascii="Arial" w:hAnsi="Arial" w:eastAsia="Arial" w:cs="Arial"/>
          <w:sz w:val="22"/>
          <w:szCs w:val="22"/>
        </w:rPr>
      </w:pPr>
      <w:r w:rsidRPr="758915D9" w:rsidR="7E84706C">
        <w:rPr>
          <w:rFonts w:ascii="Arial" w:hAnsi="Arial" w:eastAsia="Arial" w:cs="Arial"/>
          <w:b w:val="1"/>
          <w:bCs w:val="1"/>
          <w:sz w:val="22"/>
          <w:szCs w:val="22"/>
        </w:rPr>
        <w:t>Tema:</w:t>
      </w:r>
      <w:r w:rsidRPr="758915D9" w:rsidR="7E84706C">
        <w:rPr>
          <w:rFonts w:ascii="Arial" w:hAnsi="Arial" w:eastAsia="Arial" w:cs="Arial"/>
          <w:sz w:val="22"/>
          <w:szCs w:val="22"/>
        </w:rPr>
        <w:t xml:space="preserve"> Relacionamiento entre entidades del sector minero energético con el Congreso de la República.</w:t>
      </w:r>
    </w:p>
    <w:p xmlns:wp14="http://schemas.microsoft.com/office/word/2010/wordml" w:rsidP="758915D9" wp14:paraId="123F5323" wp14:textId="0F5363D4">
      <w:pPr>
        <w:pStyle w:val="Normal"/>
        <w:spacing w:before="240" w:beforeAutospacing="off" w:line="276" w:lineRule="auto"/>
        <w:rPr>
          <w:rFonts w:ascii="Arial" w:hAnsi="Arial" w:eastAsia="Arial" w:cs="Arial"/>
          <w:sz w:val="22"/>
          <w:szCs w:val="22"/>
        </w:rPr>
      </w:pPr>
      <w:r w:rsidRPr="758915D9" w:rsidR="77CB4DEA">
        <w:rPr>
          <w:rFonts w:ascii="Arial" w:hAnsi="Arial" w:eastAsia="Arial" w:cs="Arial"/>
          <w:b w:val="1"/>
          <w:bCs w:val="1"/>
          <w:sz w:val="22"/>
          <w:szCs w:val="22"/>
        </w:rPr>
        <w:t xml:space="preserve">Fecha: </w:t>
      </w:r>
      <w:r w:rsidRPr="758915D9" w:rsidR="498478D8">
        <w:rPr>
          <w:rFonts w:ascii="Arial" w:hAnsi="Arial" w:eastAsia="Arial" w:cs="Arial"/>
          <w:sz w:val="22"/>
          <w:szCs w:val="22"/>
        </w:rPr>
        <w:t>04</w:t>
      </w:r>
      <w:r w:rsidRPr="758915D9" w:rsidR="77CB4DEA">
        <w:rPr>
          <w:rFonts w:ascii="Arial" w:hAnsi="Arial" w:eastAsia="Arial" w:cs="Arial"/>
          <w:sz w:val="22"/>
          <w:szCs w:val="22"/>
        </w:rPr>
        <w:t xml:space="preserve"> de mayo de 2026</w:t>
      </w:r>
    </w:p>
    <w:p xmlns:wp14="http://schemas.microsoft.com/office/word/2010/wordml" w:rsidP="758915D9" wp14:paraId="733FD7E5" wp14:textId="289844D5">
      <w:pPr>
        <w:pStyle w:val="Normal"/>
        <w:spacing w:before="240" w:beforeAutospacing="off" w:line="276" w:lineRule="auto"/>
        <w:jc w:val="center"/>
        <w:rPr>
          <w:rFonts w:ascii="Arial" w:hAnsi="Arial" w:eastAsia="Arial" w:cs="Arial"/>
          <w:b w:val="1"/>
          <w:bCs w:val="1"/>
          <w:sz w:val="22"/>
          <w:szCs w:val="22"/>
        </w:rPr>
      </w:pPr>
      <w:r w:rsidRPr="758915D9" w:rsidR="77CB4DEA">
        <w:rPr>
          <w:rFonts w:ascii="Arial" w:hAnsi="Arial" w:eastAsia="Arial" w:cs="Arial"/>
          <w:b w:val="1"/>
          <w:bCs w:val="1"/>
          <w:sz w:val="22"/>
          <w:szCs w:val="22"/>
        </w:rPr>
        <w:t>Asistentes</w:t>
      </w:r>
    </w:p>
    <w:tbl>
      <w:tblPr>
        <w:tblStyle w:val="TableNormal"/>
        <w:bidiVisual w:val="0"/>
        <w:tblW w:w="0" w:type="auto"/>
        <w:jc w:val="center"/>
        <w:tblLook w:val="06A0" w:firstRow="1" w:lastRow="0" w:firstColumn="1" w:lastColumn="0" w:noHBand="1" w:noVBand="1"/>
      </w:tblPr>
      <w:tblGrid>
        <w:gridCol w:w="3315"/>
        <w:gridCol w:w="4005"/>
      </w:tblGrid>
      <w:tr w:rsidR="758915D9" w:rsidTr="758915D9" w14:paraId="55B3C1C2">
        <w:trPr>
          <w:trHeight w:val="37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4FC244BD" w14:textId="02037D95">
            <w:pPr>
              <w:spacing w:before="0" w:beforeAutospacing="off" w:after="40" w:afterAutospacing="off" w:line="276" w:lineRule="auto"/>
              <w:ind w:left="-80" w:right="0" w:firstLine="0"/>
              <w:jc w:val="center"/>
              <w:rPr>
                <w:rFonts w:ascii="Arial" w:hAnsi="Arial" w:eastAsia="Arial" w:cs="Arial"/>
                <w:b w:val="1"/>
                <w:bCs w:val="1"/>
                <w:i w:val="0"/>
                <w:iCs w:val="0"/>
                <w:strike w:val="0"/>
                <w:dstrike w:val="0"/>
                <w:color w:val="000000" w:themeColor="text1" w:themeTint="FF" w:themeShade="FF"/>
                <w:sz w:val="22"/>
                <w:szCs w:val="22"/>
                <w:u w:val="none"/>
              </w:rPr>
            </w:pPr>
            <w:r w:rsidRPr="758915D9" w:rsidR="758915D9">
              <w:rPr>
                <w:rFonts w:ascii="Arial" w:hAnsi="Arial" w:eastAsia="Arial" w:cs="Arial"/>
                <w:b w:val="1"/>
                <w:bCs w:val="1"/>
                <w:i w:val="0"/>
                <w:iCs w:val="0"/>
                <w:strike w:val="0"/>
                <w:dstrike w:val="0"/>
                <w:color w:val="000000" w:themeColor="text1" w:themeTint="FF" w:themeShade="FF"/>
                <w:sz w:val="22"/>
                <w:szCs w:val="22"/>
                <w:u w:val="none"/>
              </w:rPr>
              <w:t xml:space="preserve">Nombre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4E88FFA0" w14:textId="7556F61D">
            <w:pPr>
              <w:spacing w:before="0" w:beforeAutospacing="off" w:after="40" w:afterAutospacing="off" w:line="276" w:lineRule="auto"/>
              <w:ind w:left="0" w:right="0"/>
              <w:jc w:val="center"/>
              <w:rPr>
                <w:rFonts w:ascii="Arial" w:hAnsi="Arial" w:eastAsia="Arial" w:cs="Arial"/>
                <w:b w:val="1"/>
                <w:bCs w:val="1"/>
                <w:i w:val="0"/>
                <w:iCs w:val="0"/>
                <w:strike w:val="0"/>
                <w:dstrike w:val="0"/>
                <w:color w:val="000000" w:themeColor="text1" w:themeTint="FF" w:themeShade="FF"/>
                <w:sz w:val="22"/>
                <w:szCs w:val="22"/>
                <w:u w:val="none"/>
              </w:rPr>
            </w:pPr>
            <w:r w:rsidRPr="758915D9" w:rsidR="758915D9">
              <w:rPr>
                <w:rFonts w:ascii="Arial" w:hAnsi="Arial" w:eastAsia="Arial" w:cs="Arial"/>
                <w:b w:val="1"/>
                <w:bCs w:val="1"/>
                <w:i w:val="0"/>
                <w:iCs w:val="0"/>
                <w:strike w:val="0"/>
                <w:dstrike w:val="0"/>
                <w:color w:val="000000" w:themeColor="text1" w:themeTint="FF" w:themeShade="FF"/>
                <w:sz w:val="22"/>
                <w:szCs w:val="22"/>
                <w:u w:val="none"/>
              </w:rPr>
              <w:t xml:space="preserve">Entidad </w:t>
            </w:r>
          </w:p>
        </w:tc>
      </w:tr>
      <w:tr w:rsidR="758915D9" w:rsidTr="758915D9" w14:paraId="1E60C859">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37F65FBC" w:rsidP="758915D9" w:rsidRDefault="37F65FBC" w14:paraId="20658FA6" w14:textId="2193013A">
            <w:pPr>
              <w:pStyle w:val="Normal"/>
              <w:bidi w:val="0"/>
              <w:spacing w:before="0" w:beforeAutospacing="off" w:line="276" w:lineRule="auto"/>
              <w:jc w:val="both"/>
              <w:rPr>
                <w:rFonts w:ascii="Arial" w:hAnsi="Arial" w:eastAsia="Arial" w:cs="Arial"/>
                <w:b w:val="0"/>
                <w:bCs w:val="0"/>
                <w:i w:val="0"/>
                <w:iCs w:val="0"/>
                <w:strike w:val="0"/>
                <w:dstrike w:val="0"/>
                <w:color w:val="000000" w:themeColor="text1" w:themeTint="FF" w:themeShade="FF"/>
                <w:sz w:val="22"/>
                <w:szCs w:val="22"/>
                <w:u w:val="none"/>
              </w:rPr>
            </w:pPr>
            <w:r w:rsidRPr="758915D9" w:rsidR="37F65FBC">
              <w:rPr>
                <w:rFonts w:ascii="Arial" w:hAnsi="Arial" w:eastAsia="Arial" w:cs="Arial"/>
                <w:b w:val="0"/>
                <w:bCs w:val="0"/>
                <w:i w:val="0"/>
                <w:iCs w:val="0"/>
                <w:strike w:val="0"/>
                <w:dstrike w:val="0"/>
                <w:color w:val="000000" w:themeColor="text1" w:themeTint="FF" w:themeShade="FF"/>
                <w:sz w:val="22"/>
                <w:szCs w:val="22"/>
                <w:u w:val="none"/>
              </w:rPr>
              <w:t>Verónica Beltrán</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37F65FBC" w:rsidP="758915D9" w:rsidRDefault="37F65FBC" w14:paraId="2B70916F" w14:textId="5254727F">
            <w:pPr>
              <w:pStyle w:val="Normal"/>
              <w:bidi w:val="0"/>
              <w:spacing w:before="0" w:beforeAutospacing="off" w:line="276" w:lineRule="auto"/>
              <w:ind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37F65FBC">
              <w:rPr>
                <w:rFonts w:ascii="Arial" w:hAnsi="Arial" w:eastAsia="Arial" w:cs="Arial"/>
                <w:b w:val="0"/>
                <w:bCs w:val="0"/>
                <w:i w:val="0"/>
                <w:iCs w:val="0"/>
                <w:strike w:val="0"/>
                <w:dstrike w:val="0"/>
                <w:color w:val="000000" w:themeColor="text1" w:themeTint="FF" w:themeShade="FF"/>
                <w:sz w:val="22"/>
                <w:szCs w:val="22"/>
                <w:u w:val="none"/>
              </w:rPr>
              <w:t>Ministerio de Minas y Energía</w:t>
            </w:r>
            <w:r w:rsidRPr="758915D9" w:rsidR="1C446A6F">
              <w:rPr>
                <w:rFonts w:ascii="Arial" w:hAnsi="Arial" w:eastAsia="Arial" w:cs="Arial"/>
                <w:b w:val="0"/>
                <w:bCs w:val="0"/>
                <w:i w:val="0"/>
                <w:iCs w:val="0"/>
                <w:strike w:val="0"/>
                <w:dstrike w:val="0"/>
                <w:color w:val="000000" w:themeColor="text1" w:themeTint="FF" w:themeShade="FF"/>
                <w:sz w:val="22"/>
                <w:szCs w:val="22"/>
                <w:u w:val="none"/>
              </w:rPr>
              <w:t xml:space="preserve"> (MME)</w:t>
            </w:r>
          </w:p>
        </w:tc>
      </w:tr>
      <w:tr w:rsidR="758915D9" w:rsidTr="758915D9" w14:paraId="73A92294">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37F65FBC" w:rsidP="758915D9" w:rsidRDefault="37F65FBC" w14:paraId="24E9D062" w14:textId="516F21D9">
            <w:pPr>
              <w:pStyle w:val="Normal"/>
              <w:bidi w:val="0"/>
              <w:spacing w:before="0" w:beforeAutospacing="off" w:line="276" w:lineRule="auto"/>
              <w:jc w:val="both"/>
              <w:rPr>
                <w:rFonts w:ascii="Arial" w:hAnsi="Arial" w:eastAsia="Arial" w:cs="Arial"/>
                <w:b w:val="0"/>
                <w:bCs w:val="0"/>
                <w:i w:val="0"/>
                <w:iCs w:val="0"/>
                <w:strike w:val="0"/>
                <w:dstrike w:val="0"/>
                <w:color w:val="000000" w:themeColor="text1" w:themeTint="FF" w:themeShade="FF"/>
                <w:sz w:val="22"/>
                <w:szCs w:val="22"/>
                <w:u w:val="none"/>
              </w:rPr>
            </w:pPr>
            <w:r w:rsidRPr="758915D9" w:rsidR="37F65FBC">
              <w:rPr>
                <w:rFonts w:ascii="Arial" w:hAnsi="Arial" w:eastAsia="Arial" w:cs="Arial"/>
                <w:b w:val="0"/>
                <w:bCs w:val="0"/>
                <w:i w:val="0"/>
                <w:iCs w:val="0"/>
                <w:strike w:val="0"/>
                <w:dstrike w:val="0"/>
                <w:color w:val="000000" w:themeColor="text1" w:themeTint="FF" w:themeShade="FF"/>
                <w:sz w:val="22"/>
                <w:szCs w:val="22"/>
                <w:u w:val="none"/>
              </w:rPr>
              <w:t>Samir</w:t>
            </w:r>
            <w:r w:rsidRPr="758915D9" w:rsidR="1196A167">
              <w:rPr>
                <w:rFonts w:ascii="Arial" w:hAnsi="Arial" w:eastAsia="Arial" w:cs="Arial"/>
                <w:b w:val="0"/>
                <w:bCs w:val="0"/>
                <w:i w:val="0"/>
                <w:iCs w:val="0"/>
                <w:strike w:val="0"/>
                <w:dstrike w:val="0"/>
                <w:color w:val="000000" w:themeColor="text1" w:themeTint="FF" w:themeShade="FF"/>
                <w:sz w:val="22"/>
                <w:szCs w:val="22"/>
                <w:u w:val="none"/>
              </w:rPr>
              <w:t xml:space="preserve"> Arias</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37F65FBC" w:rsidP="758915D9" w:rsidRDefault="37F65FBC" w14:paraId="5E14A6D0" w14:textId="1578AC66">
            <w:pPr>
              <w:pStyle w:val="Normal"/>
              <w:bidi w:val="0"/>
              <w:spacing w:before="0" w:beforeAutospacing="off" w:line="276" w:lineRule="auto"/>
              <w:ind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37F65FBC">
              <w:rPr>
                <w:rFonts w:ascii="Arial" w:hAnsi="Arial" w:eastAsia="Arial" w:cs="Arial"/>
                <w:b w:val="0"/>
                <w:bCs w:val="0"/>
                <w:i w:val="0"/>
                <w:iCs w:val="0"/>
                <w:strike w:val="0"/>
                <w:dstrike w:val="0"/>
                <w:color w:val="000000" w:themeColor="text1" w:themeTint="FF" w:themeShade="FF"/>
                <w:sz w:val="22"/>
                <w:szCs w:val="22"/>
                <w:u w:val="none"/>
              </w:rPr>
              <w:t>Ministerio de Minas y Energía</w:t>
            </w:r>
            <w:r w:rsidRPr="758915D9" w:rsidR="64D15AE2">
              <w:rPr>
                <w:rFonts w:ascii="Arial" w:hAnsi="Arial" w:eastAsia="Arial" w:cs="Arial"/>
                <w:b w:val="0"/>
                <w:bCs w:val="0"/>
                <w:i w:val="0"/>
                <w:iCs w:val="0"/>
                <w:strike w:val="0"/>
                <w:dstrike w:val="0"/>
                <w:color w:val="000000" w:themeColor="text1" w:themeTint="FF" w:themeShade="FF"/>
                <w:sz w:val="22"/>
                <w:szCs w:val="22"/>
                <w:u w:val="none"/>
              </w:rPr>
              <w:t xml:space="preserve"> (MME)</w:t>
            </w:r>
          </w:p>
        </w:tc>
      </w:tr>
      <w:tr w:rsidR="758915D9" w:rsidTr="758915D9" w14:paraId="6938C114">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540E4ADE" w14:textId="011B023B">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Paola Tarazona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517D8F45" w14:textId="53C16B56">
            <w:pPr>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A</w:t>
            </w:r>
            <w:r w:rsidRPr="758915D9" w:rsidR="230FF824">
              <w:rPr>
                <w:rFonts w:ascii="Arial" w:hAnsi="Arial" w:eastAsia="Arial" w:cs="Arial"/>
                <w:b w:val="0"/>
                <w:bCs w:val="0"/>
                <w:i w:val="0"/>
                <w:iCs w:val="0"/>
                <w:strike w:val="0"/>
                <w:dstrike w:val="0"/>
                <w:color w:val="000000" w:themeColor="text1" w:themeTint="FF" w:themeShade="FF"/>
                <w:sz w:val="22"/>
                <w:szCs w:val="22"/>
                <w:u w:val="none"/>
              </w:rPr>
              <w:t>gencia Nacional de Minería</w:t>
            </w:r>
            <w:r w:rsidRPr="758915D9" w:rsidR="1D1D4445">
              <w:rPr>
                <w:rFonts w:ascii="Arial" w:hAnsi="Arial" w:eastAsia="Arial" w:cs="Arial"/>
                <w:b w:val="0"/>
                <w:bCs w:val="0"/>
                <w:i w:val="0"/>
                <w:iCs w:val="0"/>
                <w:strike w:val="0"/>
                <w:dstrike w:val="0"/>
                <w:color w:val="000000" w:themeColor="text1" w:themeTint="FF" w:themeShade="FF"/>
                <w:sz w:val="22"/>
                <w:szCs w:val="22"/>
                <w:u w:val="none"/>
              </w:rPr>
              <w:t xml:space="preserve"> (ANM)</w:t>
            </w:r>
          </w:p>
        </w:tc>
      </w:tr>
      <w:tr w:rsidR="758915D9" w:rsidTr="758915D9" w14:paraId="4F697A68">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1A9E0191" w14:textId="004F8430">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Tatiana De Roux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50A4EB1B" w:rsidP="758915D9" w:rsidRDefault="50A4EB1B" w14:paraId="3B7358FC" w14:textId="1E606828">
            <w:pPr>
              <w:pStyle w:val="Normal"/>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50A4EB1B">
              <w:rPr>
                <w:rFonts w:ascii="Arial" w:hAnsi="Arial" w:eastAsia="Arial" w:cs="Arial"/>
                <w:b w:val="0"/>
                <w:bCs w:val="0"/>
                <w:i w:val="0"/>
                <w:iCs w:val="0"/>
                <w:strike w:val="0"/>
                <w:dstrike w:val="0"/>
                <w:color w:val="000000" w:themeColor="text1" w:themeTint="FF" w:themeShade="FF"/>
                <w:sz w:val="22"/>
                <w:szCs w:val="22"/>
                <w:u w:val="none"/>
              </w:rPr>
              <w:t xml:space="preserve">Agencia Nacional de </w:t>
            </w:r>
            <w:r w:rsidRPr="758915D9" w:rsidR="758915D9">
              <w:rPr>
                <w:rFonts w:ascii="Arial" w:hAnsi="Arial" w:eastAsia="Arial" w:cs="Arial"/>
                <w:b w:val="0"/>
                <w:bCs w:val="0"/>
                <w:i w:val="0"/>
                <w:iCs w:val="0"/>
                <w:strike w:val="0"/>
                <w:dstrike w:val="0"/>
                <w:color w:val="000000" w:themeColor="text1" w:themeTint="FF" w:themeShade="FF"/>
                <w:sz w:val="22"/>
                <w:szCs w:val="22"/>
                <w:u w:val="none"/>
              </w:rPr>
              <w:t>H</w:t>
            </w:r>
            <w:r w:rsidRPr="758915D9" w:rsidR="64E09C1B">
              <w:rPr>
                <w:rFonts w:ascii="Arial" w:hAnsi="Arial" w:eastAsia="Arial" w:cs="Arial"/>
                <w:b w:val="0"/>
                <w:bCs w:val="0"/>
                <w:i w:val="0"/>
                <w:iCs w:val="0"/>
                <w:strike w:val="0"/>
                <w:dstrike w:val="0"/>
                <w:color w:val="000000" w:themeColor="text1" w:themeTint="FF" w:themeShade="FF"/>
                <w:sz w:val="22"/>
                <w:szCs w:val="22"/>
                <w:u w:val="none"/>
              </w:rPr>
              <w:t>idrocarburos</w:t>
            </w: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 </w:t>
            </w:r>
            <w:r w:rsidRPr="758915D9" w:rsidR="2681E7D9">
              <w:rPr>
                <w:rFonts w:ascii="Arial" w:hAnsi="Arial" w:eastAsia="Arial" w:cs="Arial"/>
                <w:b w:val="0"/>
                <w:bCs w:val="0"/>
                <w:i w:val="0"/>
                <w:iCs w:val="0"/>
                <w:strike w:val="0"/>
                <w:dstrike w:val="0"/>
                <w:color w:val="000000" w:themeColor="text1" w:themeTint="FF" w:themeShade="FF"/>
                <w:sz w:val="22"/>
                <w:szCs w:val="22"/>
                <w:u w:val="none"/>
              </w:rPr>
              <w:t>(ANH)</w:t>
            </w:r>
          </w:p>
        </w:tc>
      </w:tr>
      <w:tr w:rsidR="758915D9" w:rsidTr="758915D9" w14:paraId="2CFFA2B3">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41804049" w14:textId="796F3F5D">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María Alejandra Murillo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47313221" w:rsidP="758915D9" w:rsidRDefault="47313221" w14:paraId="741C2EDC" w14:textId="5AF0500C">
            <w:pPr>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47313221">
              <w:rPr>
                <w:rFonts w:ascii="Arial" w:hAnsi="Arial" w:eastAsia="Arial" w:cs="Arial"/>
                <w:b w:val="0"/>
                <w:bCs w:val="0"/>
                <w:i w:val="0"/>
                <w:iCs w:val="0"/>
                <w:strike w:val="0"/>
                <w:dstrike w:val="0"/>
                <w:color w:val="000000" w:themeColor="text1" w:themeTint="FF" w:themeShade="FF"/>
                <w:sz w:val="22"/>
                <w:szCs w:val="22"/>
                <w:u w:val="none"/>
              </w:rPr>
              <w:t>Instituto de Planificación y Promoción de Soluciones Energéticas</w:t>
            </w:r>
            <w:r w:rsidRPr="758915D9" w:rsidR="6F2A155C">
              <w:rPr>
                <w:rFonts w:ascii="Arial" w:hAnsi="Arial" w:eastAsia="Arial" w:cs="Arial"/>
                <w:b w:val="0"/>
                <w:bCs w:val="0"/>
                <w:i w:val="0"/>
                <w:iCs w:val="0"/>
                <w:strike w:val="0"/>
                <w:dstrike w:val="0"/>
                <w:color w:val="000000" w:themeColor="text1" w:themeTint="FF" w:themeShade="FF"/>
                <w:sz w:val="22"/>
                <w:szCs w:val="22"/>
                <w:u w:val="none"/>
              </w:rPr>
              <w:t xml:space="preserve"> (IPSE)</w:t>
            </w:r>
          </w:p>
        </w:tc>
      </w:tr>
      <w:tr w:rsidR="758915D9" w:rsidTr="758915D9" w14:paraId="1548D091">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5BD310E4" w14:textId="437A411F">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Luisa Giraldo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3E87DB20" w:rsidP="758915D9" w:rsidRDefault="3E87DB20" w14:paraId="5F031E93" w14:textId="01FCC71E">
            <w:pPr>
              <w:pStyle w:val="Normal"/>
              <w:spacing w:before="0" w:beforeAutospacing="off" w:after="40" w:afterAutospacing="off" w:line="276" w:lineRule="auto"/>
              <w:ind w:left="0" w:right="0" w:firstLine="0"/>
              <w:jc w:val="both"/>
              <w:rPr>
                <w:rFonts w:ascii="Arial" w:hAnsi="Arial" w:eastAsia="Arial" w:cs="Arial"/>
                <w:noProof w:val="0"/>
                <w:sz w:val="22"/>
                <w:szCs w:val="22"/>
                <w:lang w:val="es-ES"/>
              </w:rPr>
            </w:pPr>
            <w:r w:rsidRPr="758915D9" w:rsidR="3E87DB20">
              <w:rPr>
                <w:rFonts w:ascii="Arial" w:hAnsi="Arial" w:eastAsia="Arial" w:cs="Arial"/>
                <w:noProof w:val="0"/>
                <w:sz w:val="22"/>
                <w:szCs w:val="22"/>
                <w:lang w:val="es-ES"/>
              </w:rPr>
              <w:t>Comisión de Regulación de Energía y Gas (CREG)</w:t>
            </w:r>
          </w:p>
        </w:tc>
      </w:tr>
      <w:tr w:rsidR="758915D9" w:rsidTr="758915D9" w14:paraId="609C45B0">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7BA98D89" w14:textId="10EC981B">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Alfredo Agamez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74F9E74D" w14:textId="12E9ED34">
            <w:pPr>
              <w:pStyle w:val="Normal"/>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U</w:t>
            </w:r>
            <w:r w:rsidRPr="758915D9" w:rsidR="3F1CFACB">
              <w:rPr>
                <w:rFonts w:ascii="Arial" w:hAnsi="Arial" w:eastAsia="Arial" w:cs="Arial"/>
                <w:noProof w:val="0"/>
                <w:sz w:val="22"/>
                <w:szCs w:val="22"/>
                <w:lang w:val="es-ES"/>
              </w:rPr>
              <w:t xml:space="preserve">nidad de Planeación </w:t>
            </w:r>
            <w:r w:rsidRPr="758915D9" w:rsidR="3F1CFACB">
              <w:rPr>
                <w:rFonts w:ascii="Arial" w:hAnsi="Arial" w:eastAsia="Arial" w:cs="Arial"/>
                <w:noProof w:val="0"/>
                <w:sz w:val="22"/>
                <w:szCs w:val="22"/>
                <w:lang w:val="es-ES"/>
              </w:rPr>
              <w:t>Minero Energética</w:t>
            </w:r>
            <w:r w:rsidRPr="758915D9" w:rsidR="3F1CFACB">
              <w:rPr>
                <w:rFonts w:ascii="Arial" w:hAnsi="Arial" w:eastAsia="Arial" w:cs="Arial"/>
                <w:noProof w:val="0"/>
                <w:sz w:val="22"/>
                <w:szCs w:val="22"/>
                <w:lang w:val="es-ES"/>
              </w:rPr>
              <w:t xml:space="preserve"> (U</w:t>
            </w:r>
            <w:r w:rsidRPr="758915D9" w:rsidR="758915D9">
              <w:rPr>
                <w:rFonts w:ascii="Arial" w:hAnsi="Arial" w:eastAsia="Arial" w:cs="Arial"/>
                <w:b w:val="0"/>
                <w:bCs w:val="0"/>
                <w:i w:val="0"/>
                <w:iCs w:val="0"/>
                <w:strike w:val="0"/>
                <w:dstrike w:val="0"/>
                <w:color w:val="000000" w:themeColor="text1" w:themeTint="FF" w:themeShade="FF"/>
                <w:sz w:val="22"/>
                <w:szCs w:val="22"/>
                <w:u w:val="none"/>
              </w:rPr>
              <w:t>PME</w:t>
            </w:r>
            <w:r w:rsidRPr="758915D9" w:rsidR="5CBBEE37">
              <w:rPr>
                <w:rFonts w:ascii="Arial" w:hAnsi="Arial" w:eastAsia="Arial" w:cs="Arial"/>
                <w:b w:val="0"/>
                <w:bCs w:val="0"/>
                <w:i w:val="0"/>
                <w:iCs w:val="0"/>
                <w:strike w:val="0"/>
                <w:dstrike w:val="0"/>
                <w:color w:val="000000" w:themeColor="text1" w:themeTint="FF" w:themeShade="FF"/>
                <w:sz w:val="22"/>
                <w:szCs w:val="22"/>
                <w:u w:val="none"/>
              </w:rPr>
              <w:t>)</w:t>
            </w: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 </w:t>
            </w:r>
          </w:p>
        </w:tc>
      </w:tr>
      <w:tr w:rsidR="758915D9" w:rsidTr="758915D9" w14:paraId="617B6154">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15D7558F" w14:textId="6DBFE22F">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Enrique Castro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2736E172" w:rsidP="758915D9" w:rsidRDefault="2736E172" w14:paraId="5D2909F9" w14:textId="2068249E">
            <w:pPr>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2736E172">
              <w:rPr>
                <w:rFonts w:ascii="Arial" w:hAnsi="Arial" w:eastAsia="Arial" w:cs="Arial"/>
                <w:b w:val="0"/>
                <w:bCs w:val="0"/>
                <w:i w:val="0"/>
                <w:iCs w:val="0"/>
                <w:strike w:val="0"/>
                <w:dstrike w:val="0"/>
                <w:color w:val="000000" w:themeColor="text1" w:themeTint="FF" w:themeShade="FF"/>
                <w:sz w:val="22"/>
                <w:szCs w:val="22"/>
                <w:u w:val="none"/>
              </w:rPr>
              <w:t>Servicio Geológico Colombiano (</w:t>
            </w:r>
            <w:r w:rsidRPr="758915D9" w:rsidR="758915D9">
              <w:rPr>
                <w:rFonts w:ascii="Arial" w:hAnsi="Arial" w:eastAsia="Arial" w:cs="Arial"/>
                <w:b w:val="0"/>
                <w:bCs w:val="0"/>
                <w:i w:val="0"/>
                <w:iCs w:val="0"/>
                <w:strike w:val="0"/>
                <w:dstrike w:val="0"/>
                <w:color w:val="000000" w:themeColor="text1" w:themeTint="FF" w:themeShade="FF"/>
                <w:sz w:val="22"/>
                <w:szCs w:val="22"/>
                <w:u w:val="none"/>
              </w:rPr>
              <w:t>SGC</w:t>
            </w:r>
            <w:r w:rsidRPr="758915D9" w:rsidR="44D3602D">
              <w:rPr>
                <w:rFonts w:ascii="Arial" w:hAnsi="Arial" w:eastAsia="Arial" w:cs="Arial"/>
                <w:b w:val="0"/>
                <w:bCs w:val="0"/>
                <w:i w:val="0"/>
                <w:iCs w:val="0"/>
                <w:strike w:val="0"/>
                <w:dstrike w:val="0"/>
                <w:color w:val="000000" w:themeColor="text1" w:themeTint="FF" w:themeShade="FF"/>
                <w:sz w:val="22"/>
                <w:szCs w:val="22"/>
                <w:u w:val="none"/>
              </w:rPr>
              <w:t>)</w:t>
            </w: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 </w:t>
            </w:r>
          </w:p>
        </w:tc>
      </w:tr>
      <w:tr w:rsidR="758915D9" w:rsidTr="758915D9" w14:paraId="45D1AEF2">
        <w:trPr>
          <w:trHeight w:val="345"/>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2147F319" w14:textId="27DFFABB">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Alejandro Arboleda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2A7F8F2C" w:rsidP="758915D9" w:rsidRDefault="2A7F8F2C" w14:paraId="183F4A45" w14:textId="4AB92653">
            <w:pPr>
              <w:pStyle w:val="Normal"/>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2A7F8F2C">
              <w:rPr>
                <w:rFonts w:ascii="Arial" w:hAnsi="Arial" w:eastAsia="Arial" w:cs="Arial"/>
                <w:noProof w:val="0"/>
                <w:sz w:val="22"/>
                <w:szCs w:val="22"/>
                <w:lang w:val="es-ES"/>
              </w:rPr>
              <w:t>Fondo de Energías No Convencionales y Gestión Eficiente de la Energía (</w:t>
            </w:r>
            <w:r w:rsidRPr="758915D9" w:rsidR="758915D9">
              <w:rPr>
                <w:rFonts w:ascii="Arial" w:hAnsi="Arial" w:eastAsia="Arial" w:cs="Arial"/>
                <w:b w:val="0"/>
                <w:bCs w:val="0"/>
                <w:i w:val="0"/>
                <w:iCs w:val="0"/>
                <w:strike w:val="0"/>
                <w:dstrike w:val="0"/>
                <w:color w:val="000000" w:themeColor="text1" w:themeTint="FF" w:themeShade="FF"/>
                <w:sz w:val="22"/>
                <w:szCs w:val="22"/>
                <w:u w:val="none"/>
              </w:rPr>
              <w:t>FENOGE</w:t>
            </w:r>
            <w:r w:rsidRPr="758915D9" w:rsidR="7A3A0331">
              <w:rPr>
                <w:rFonts w:ascii="Arial" w:hAnsi="Arial" w:eastAsia="Arial" w:cs="Arial"/>
                <w:b w:val="0"/>
                <w:bCs w:val="0"/>
                <w:i w:val="0"/>
                <w:iCs w:val="0"/>
                <w:strike w:val="0"/>
                <w:dstrike w:val="0"/>
                <w:color w:val="000000" w:themeColor="text1" w:themeTint="FF" w:themeShade="FF"/>
                <w:sz w:val="22"/>
                <w:szCs w:val="22"/>
                <w:u w:val="none"/>
              </w:rPr>
              <w:t>)</w:t>
            </w: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 </w:t>
            </w:r>
          </w:p>
        </w:tc>
      </w:tr>
      <w:tr w:rsidR="758915D9" w:rsidTr="758915D9" w14:paraId="2563E77E">
        <w:trPr>
          <w:trHeight w:val="300"/>
        </w:trPr>
        <w:tc>
          <w:tcPr>
            <w:tcW w:w="331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004EBEBA" w14:textId="70E50F8F">
            <w:pPr>
              <w:spacing w:before="0" w:beforeAutospacing="off" w:after="40" w:afterAutospacing="off" w:line="276" w:lineRule="auto"/>
              <w:ind w:left="-80" w:right="0" w:firstLine="8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Francisco Morales (Senado </w:t>
            </w:r>
          </w:p>
        </w:tc>
        <w:tc>
          <w:tcPr>
            <w:tcW w:w="4005" w:type="dxa"/>
            <w:tcBorders>
              <w:top w:val="single" w:color="000000" w:themeColor="text1" w:sz="5"/>
              <w:left w:val="single" w:color="000000" w:themeColor="text1" w:sz="5"/>
              <w:bottom w:val="single" w:color="000000" w:themeColor="text1" w:sz="5"/>
              <w:right w:val="single" w:color="000000" w:themeColor="text1" w:sz="5"/>
            </w:tcBorders>
            <w:tcMar/>
            <w:vAlign w:val="bottom"/>
          </w:tcPr>
          <w:p w:rsidR="758915D9" w:rsidP="758915D9" w:rsidRDefault="758915D9" w14:paraId="4300FAF0" w14:textId="3D0D91E0">
            <w:pPr>
              <w:spacing w:before="0" w:beforeAutospacing="off" w:after="40" w:afterAutospacing="off" w:line="276" w:lineRule="auto"/>
              <w:ind w:left="0" w:right="0" w:firstLine="0"/>
              <w:jc w:val="both"/>
              <w:rPr>
                <w:rFonts w:ascii="Arial" w:hAnsi="Arial" w:eastAsia="Arial" w:cs="Arial"/>
                <w:b w:val="0"/>
                <w:bCs w:val="0"/>
                <w:i w:val="0"/>
                <w:iCs w:val="0"/>
                <w:strike w:val="0"/>
                <w:dstrike w:val="0"/>
                <w:color w:val="000000" w:themeColor="text1" w:themeTint="FF" w:themeShade="FF"/>
                <w:sz w:val="22"/>
                <w:szCs w:val="22"/>
                <w:u w:val="none"/>
              </w:rPr>
            </w:pPr>
            <w:r w:rsidRPr="758915D9" w:rsidR="758915D9">
              <w:rPr>
                <w:rFonts w:ascii="Arial" w:hAnsi="Arial" w:eastAsia="Arial" w:cs="Arial"/>
                <w:b w:val="0"/>
                <w:bCs w:val="0"/>
                <w:i w:val="0"/>
                <w:iCs w:val="0"/>
                <w:strike w:val="0"/>
                <w:dstrike w:val="0"/>
                <w:color w:val="000000" w:themeColor="text1" w:themeTint="FF" w:themeShade="FF"/>
                <w:sz w:val="22"/>
                <w:szCs w:val="22"/>
                <w:u w:val="none"/>
              </w:rPr>
              <w:t xml:space="preserve">ECOPETROL </w:t>
            </w:r>
          </w:p>
        </w:tc>
      </w:tr>
    </w:tbl>
    <w:p xmlns:wp14="http://schemas.microsoft.com/office/word/2010/wordml" w:rsidP="758915D9" wp14:paraId="71BB499B" wp14:textId="53CAA188">
      <w:pPr>
        <w:bidi w:val="0"/>
        <w:rPr>
          <w:rFonts w:ascii="Arial" w:hAnsi="Arial" w:eastAsia="Arial" w:cs="Arial"/>
          <w:sz w:val="22"/>
          <w:szCs w:val="22"/>
        </w:rPr>
      </w:pPr>
    </w:p>
    <w:p xmlns:wp14="http://schemas.microsoft.com/office/word/2010/wordml" w:rsidP="758915D9" wp14:paraId="76972740" wp14:textId="5F795DF5">
      <w:pPr>
        <w:shd w:val="clear" w:color="auto" w:fill="FFFFFF" w:themeFill="background1"/>
        <w:bidi w:val="0"/>
        <w:spacing w:before="240" w:beforeAutospacing="off" w:after="0" w:afterAutospacing="off" w:line="276" w:lineRule="auto"/>
        <w:jc w:val="center"/>
        <w:rPr>
          <w:rFonts w:ascii="Arial" w:hAnsi="Arial" w:eastAsia="Arial" w:cs="Arial"/>
          <w:b w:val="1"/>
          <w:bCs w:val="1"/>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 </w:t>
      </w:r>
      <w:r w:rsidRPr="758915D9" w:rsidR="61473887">
        <w:rPr>
          <w:rFonts w:ascii="Arial" w:hAnsi="Arial" w:eastAsia="Arial" w:cs="Arial"/>
          <w:b w:val="1"/>
          <w:bCs w:val="1"/>
          <w:i w:val="0"/>
          <w:iCs w:val="0"/>
          <w:strike w:val="0"/>
          <w:dstrike w:val="0"/>
          <w:noProof w:val="0"/>
          <w:color w:val="000000" w:themeColor="text1" w:themeTint="FF" w:themeShade="FF"/>
          <w:sz w:val="22"/>
          <w:szCs w:val="22"/>
          <w:u w:val="none"/>
          <w:lang w:val="es-ES"/>
        </w:rPr>
        <w:t>Desarrollo de la sesión</w:t>
      </w:r>
    </w:p>
    <w:p xmlns:wp14="http://schemas.microsoft.com/office/word/2010/wordml" w:rsidP="758915D9" wp14:paraId="79CA270B" wp14:textId="74684C5F">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-Verónica (MME):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frente al primer elemento que es la dinámica de relacionamiento con el Congreso, la primera pregunta que se plantea para el desarrollo de este grupo focal es ¿Cómo escriben ustedes la relación actual de sus respectivas organizaciones con el congreso, de cara a los temas de transición energética, y qué rasgos las caracterizan?</w:t>
      </w:r>
    </w:p>
    <w:p xmlns:wp14="http://schemas.microsoft.com/office/word/2010/wordml" w:rsidP="758915D9" wp14:paraId="3945ABED" wp14:textId="30E9413E">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-Alfredo (UPME):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La caracteriza la inmediatez.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el Congreso siempre, entre todos los proyectos y solicitudes, creen que el proyecto por el cual consultan es el único, entonces siempre es de ayer para ayer y eso hace que sea un poco tenso en alguna medida porque uno tiene que ir evacuando no solamente por antigüedad y por prioridad, por contenido, no es lo mismo que te pregunten por servidumbres, a qué te pregunten por el detalle del tema.</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Sin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embargo</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a nivel de personas y de equipos la relación siempre ha sido muy cordial.</w:t>
      </w:r>
    </w:p>
    <w:p xmlns:wp14="http://schemas.microsoft.com/office/word/2010/wordml" w:rsidP="758915D9" wp14:paraId="472EB29F" wp14:textId="1C04D323">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-Verónica (MME):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En segundo lugar, nos planteamos ¿qué momentos o experiencias han marcado la relación de ustedes con el Congreso y qué lecciones les han dejado como institución? </w:t>
      </w:r>
    </w:p>
    <w:p xmlns:wp14="http://schemas.microsoft.com/office/word/2010/wordml" w:rsidP="758915D9" wp14:paraId="74EEA353" wp14:textId="2F20F4F6">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-Luisa (CREG):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A mí, por ejemplo, desde la CREG, me ha llamado la atención en estos dos meses que llevo,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que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a diferencia de las otras entidades, los congresistas hacen consultas muy técnicas.  </w:t>
      </w:r>
    </w:p>
    <w:p xmlns:wp14="http://schemas.microsoft.com/office/word/2010/wordml" w:rsidP="758915D9" wp14:paraId="6CFB6005" wp14:textId="43A92FFA">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Sé que hay un tecnicismo, de acuerdo al objetivo de la pregunta, al proyecto de ley o la iniciativa legislativa desde la ley quinta. Pero veo que les interesa mucho conocer desde el sector de energía y gas, qué es lo que se está haciendo actualmente y el impacto que esto tiene a nivel nacional. Esas dos preguntas son muy macro, pero es retador desglosarlas y les genera mucha inquietud ese tema.  </w:t>
      </w:r>
    </w:p>
    <w:p xmlns:wp14="http://schemas.microsoft.com/office/word/2010/wordml" w:rsidP="758915D9" wp14:paraId="739079E5" wp14:textId="0C8291F4">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Pero al final tampoco lo veo reflejado en los debates ni en las intervenciones, pero sí es de mayor inquietud.  </w:t>
      </w:r>
    </w:p>
    <w:p xmlns:wp14="http://schemas.microsoft.com/office/word/2010/wordml" w:rsidP="758915D9" wp14:paraId="72B791F6" wp14:textId="1B6E7E6A">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-Paola (ANM):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De pronto también que muchas veces los congresistas ofician el mismo tema a varias entidades, incluso dentro del sector, o a veces al sector ambiental en el caso de minería. Yo veo que ofician, ya cuando entra uno a comparar, eran las mismas preguntas.  </w:t>
      </w:r>
    </w:p>
    <w:p xmlns:wp14="http://schemas.microsoft.com/office/word/2010/wordml" w:rsidP="758915D9" wp14:paraId="4A73A9F1" wp14:textId="10784A4F">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Entonces es clave que también haya esa comunicación entre los enlaces para saber qué se está contestando porque, posiblemente, contesta una cosa el Ministerio, otra cosa la Agencia, y a la final, si somos gobierno, pues, la respuesta tiene que estar orientada, superando el tema técnico, orientada con el mismo tono políticamente correcto.</w:t>
      </w:r>
    </w:p>
    <w:p xmlns:wp14="http://schemas.microsoft.com/office/word/2010/wordml" w:rsidP="758915D9" wp14:paraId="6B788C1A" wp14:textId="6B168D12">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Entonces, en eso sí es clave que las cabezas de los grupos legislativos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estén revisando</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constantemente qué hay, qué solicitudes llegaron, para ver si nos están midiendo el mismo congresista a las entidades en el mismo tema.  </w:t>
      </w:r>
    </w:p>
    <w:p xmlns:wp14="http://schemas.microsoft.com/office/word/2010/wordml" w:rsidP="758915D9" wp14:paraId="1923D342" wp14:textId="113F0D02">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-Alfredo (UPME):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También pasa entre Min agricultura y Min Minas.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Por ejemplo, hay una cosa de algunos que son de minas, que también no lo piden a Min Agricultura precisamente para generar el quiebre en la respuesta.</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Pero, obviamente los enfoques de cada ministerio responden a situaciones completamente diferentes y </w:t>
      </w:r>
      <w:r w:rsidRPr="758915D9" w:rsidR="2A0DD572">
        <w:rPr>
          <w:rFonts w:ascii="Arial" w:hAnsi="Arial" w:eastAsia="Arial" w:cs="Arial"/>
          <w:b w:val="0"/>
          <w:bCs w:val="0"/>
          <w:i w:val="0"/>
          <w:iCs w:val="0"/>
          <w:strike w:val="0"/>
          <w:dstrike w:val="0"/>
          <w:noProof w:val="0"/>
          <w:color w:val="000000" w:themeColor="text1" w:themeTint="FF" w:themeShade="FF"/>
          <w:sz w:val="22"/>
          <w:szCs w:val="22"/>
          <w:u w:val="none"/>
          <w:lang w:val="es-ES"/>
        </w:rPr>
        <w:t>habrá</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diferencias entre los conceptos porque pues son respuestas desde distintos puntos de vista, pero ahí es clave que todos estuvieran en la misma sintonía para poder encontrar esos puntos en común. </w:t>
      </w:r>
    </w:p>
    <w:p xmlns:wp14="http://schemas.microsoft.com/office/word/2010/wordml" w:rsidP="758915D9" wp14:paraId="1ADE4B26" wp14:textId="73520D55">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-Paola (ANM):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Sí, incluso eso pasó hace poco con un proyecto de ley que prohibía la destrucción de maquinaria amarilla y sobre el que nosotros a grandes rasgos, no veíamos ninguna alerta, sin embargo, el autor nos generaba un poco de desconfianza, es un autor del centro democrático y queríamos revisarlo. </w:t>
      </w:r>
    </w:p>
    <w:p xmlns:wp14="http://schemas.microsoft.com/office/word/2010/wordml" w:rsidP="758915D9" wp14:paraId="378BE40B" wp14:textId="66FC2181">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Nos pidieron concepto. Para ello estamos indagando con el Ministerio de defensa y mandamos a la solicitud de la SAE, para ver cuál es la postura de ellos, porque son los principales implicados en el proyecto, e ir como gobierno, si se quiere, en una sola postura.  </w:t>
      </w:r>
    </w:p>
    <w:p xmlns:wp14="http://schemas.microsoft.com/office/word/2010/wordml" w:rsidP="758915D9" wp14:paraId="72706617" wp14:textId="17FA4828">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Eso es más como una directiva de la comunidad andina de Naciones, el manejo de la maquinaria. Pero el proyecto de ley sí es como el quinto intento de diferentes partidos de ver que se hace con esa maquinaria amarilla.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Ya han dicho que mandarla a municipios PDET y ZOMAC, han dicho que dejársela a alcaldes y gobernadores para vías terciarias, digamos diferentes usos, pero al final terminan llegando a la conclusión de que si no hay quién se encargue como entidad de esa maquinaria, como Min Transporte, que las tenga plaqueadas, inventariadas y del mantenimiento.</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Un alcalde que asume el mantenimiento de una máquina de </w:t>
      </w:r>
      <w:r w:rsidRPr="758915D9" w:rsidR="36840A69">
        <w:rPr>
          <w:rFonts w:ascii="Arial" w:hAnsi="Arial" w:eastAsia="Arial" w:cs="Arial"/>
          <w:b w:val="0"/>
          <w:bCs w:val="0"/>
          <w:i w:val="0"/>
          <w:iCs w:val="0"/>
          <w:strike w:val="0"/>
          <w:dstrike w:val="0"/>
          <w:noProof w:val="0"/>
          <w:color w:val="000000" w:themeColor="text1" w:themeTint="FF" w:themeShade="FF"/>
          <w:sz w:val="22"/>
          <w:szCs w:val="22"/>
          <w:u w:val="none"/>
          <w:lang w:val="es-ES"/>
        </w:rPr>
        <w:t>esas</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es muy costoso. En un debate de esos llegaron a la conclusión que quemarla iba a ser más económico incluso que incluso transportarlas de un municipio a otro. </w:t>
      </w:r>
    </w:p>
    <w:p xmlns:wp14="http://schemas.microsoft.com/office/word/2010/wordml" w:rsidP="758915D9" wp14:paraId="08157A61" wp14:textId="4786CD78">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-Verónica (MME):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La siguiente pregunta sobre esa dimensión estaría relacionada con ¿Qué aspectos consideran que han facilitado la interlocución entre ustedes y los congresistas en los últimos años? </w:t>
      </w:r>
    </w:p>
    <w:p xmlns:wp14="http://schemas.microsoft.com/office/word/2010/wordml" w:rsidP="758915D9" wp14:paraId="25166FFA" wp14:textId="2047D92D">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-Alfredo (UPME):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La voluntad política para sacar proyectos adelante es clave para que ellos mismos vayan, no solamente pedaleando el proyecto, sino que también hay un interés real porque a veces te dejan pasar un </w:t>
      </w:r>
      <w:r w:rsidRPr="758915D9" w:rsidR="6134A90E">
        <w:rPr>
          <w:rFonts w:ascii="Arial" w:hAnsi="Arial" w:eastAsia="Arial" w:cs="Arial"/>
          <w:b w:val="0"/>
          <w:bCs w:val="0"/>
          <w:i w:val="0"/>
          <w:iCs w:val="0"/>
          <w:strike w:val="0"/>
          <w:dstrike w:val="0"/>
          <w:noProof w:val="0"/>
          <w:color w:val="000000" w:themeColor="text1" w:themeTint="FF" w:themeShade="FF"/>
          <w:sz w:val="22"/>
          <w:szCs w:val="22"/>
          <w:u w:val="none"/>
          <w:lang w:val="es-ES"/>
        </w:rPr>
        <w:t>proyecto,</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pero ahí se queda en esa dinámica, haciendo prioritario lo que sí se va moviendo dentro del Congreso.</w:t>
      </w:r>
    </w:p>
    <w:p xmlns:wp14="http://schemas.microsoft.com/office/word/2010/wordml" w:rsidP="758915D9" wp14:paraId="3DCCDDBB" wp14:textId="5686BC87">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Tener una conversación fluida con los equipos de los congresistas es clave. Ellos son los que están llevando todo detrás de eso.</w:t>
      </w:r>
    </w:p>
    <w:p xmlns:wp14="http://schemas.microsoft.com/office/word/2010/wordml" w:rsidP="758915D9" wp14:paraId="77812B05" wp14:textId="4F297D44">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-Paola (ANM):</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De pronto también no darle mucho tiempo cuando hay una petición, que es pequeña o una solicitud que se puede solventar con una reunión virtual, o una mesa técnica, que después se puede crecer, volver una proposición o una citación a debate.  </w:t>
      </w:r>
    </w:p>
    <w:p xmlns:wp14="http://schemas.microsoft.com/office/word/2010/wordml" w:rsidP="758915D9" wp14:paraId="0348A2B8" wp14:textId="26BCB9F5">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A veces ellos piden atender a un determinado grupo de personas o que tienen dudas, sobre todo porque ellos están en territorio y la gente los aborda y les consulta, entonces, al final, eso puede ser una mesa técnica virtual que se programe rápidamente, con eso el tema se aplaca. Es importante el poderle solucionar rápido al congresista a través de espacios como mesas técnicas, para que el tema no crezca.</w:t>
      </w:r>
    </w:p>
    <w:p xmlns:wp14="http://schemas.microsoft.com/office/word/2010/wordml" w:rsidP="758915D9" wp14:paraId="08222BF9" wp14:textId="3B5F8935">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-Luisa (CREG):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También cuando hay solicitudes de información, o de proposiciones, enviarlos a tiempo, tener el cuidado de enviar excusa, hablar con ellos previamente refleja que la entidad le da importancia al tema que se quiere hacer.</w:t>
      </w:r>
    </w:p>
    <w:p xmlns:wp14="http://schemas.microsoft.com/office/word/2010/wordml" w:rsidP="758915D9" wp14:paraId="71FB9C33" wp14:textId="36539C94">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-Verónica (MME):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Frente al bloque II se plantea: ¿cuáles son las percepciones que se tienen sobre el análisis estratégico legislativo?  </w:t>
      </w:r>
    </w:p>
    <w:p xmlns:wp14="http://schemas.microsoft.com/office/word/2010/wordml" w:rsidP="758915D9" wp14:paraId="26FA96C5" wp14:textId="2B391E21">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Se plantean 3 preguntas, al igual que en el bloque anterior. La primera es ¿cómo construyen y aplican el análisis legislativo en sus respectivas organizaciones para apoyar la relación con el Congreso?  </w:t>
      </w:r>
    </w:p>
    <w:p xmlns:wp14="http://schemas.microsoft.com/office/word/2010/wordml" w:rsidP="758915D9" wp14:paraId="59BBE051" wp14:textId="4814A659">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-Alfredo (UPME):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En la UPME hacemos mapeo semanal de todos los proyectos, y como últimamente ha sido tan requerida la UPME dentro de varios proyectos que están presentando o que se están debatiendo en la primera instancia, siempre hay un desglose general del proyecto, porque no todos hablamos el mismo lenguaje, se pide a unos expertos técnicos en materia de transición energética que nos den su concepto y siempre se mantiene al día de cuáles son los proyectos que están en debate o que sean de importancia para que nos tomen fuera de base nunca en materia legislativa.</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w:t>
      </w:r>
    </w:p>
    <w:p xmlns:wp14="http://schemas.microsoft.com/office/word/2010/wordml" w:rsidP="758915D9" wp14:paraId="58E93A93" wp14:textId="7C76FDA2">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-Adriana (ECOPETROL):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Desde ECOPETROL tenemos el apoyo de una firma que hace seguimiento a Congreso, entonces estamos pendientes de los proyectos que presenten, nos hacen seguimiento a los proyectos sobre los que tengamos alerta y al interior de las áreas solicitamos insumos de análisis de los proyectos, dependiendo de la urgencia, de cuando se vayan a mover, de algunas consideraciones más de la oportunidad de presentar comentarios y, usualmente, los conversamos a través de la cartera, los enviamos a través de Min Minas.</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ECOPETROL tiene prohibido el lobby, entonces nosotros siempre intentamos hacer de canal institucional.  </w:t>
      </w:r>
    </w:p>
    <w:p xmlns:wp14="http://schemas.microsoft.com/office/word/2010/wordml" w:rsidP="758915D9" wp14:paraId="712D1C98" wp14:textId="44847297">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-Paola (ANM):</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Mantener un monitoreo legislativo es eso, estar pendiente de proyectos de ley que se radican, escuchar las sesiones para ver si se aprueban proposiciones en las que nos quieran incluir, estar contestando los derechos de petición en los tiempos que se disponen y solventarles a los congresistas las consultas técnicas que hacen con las áreas al interior de la entidad.</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w:t>
      </w:r>
    </w:p>
    <w:p xmlns:wp14="http://schemas.microsoft.com/office/word/2010/wordml" w:rsidP="758915D9" wp14:paraId="13DAA093" wp14:textId="67E46599">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Más allá eso también, algo que nos ha funcionado mucho en la Agencia es anticiparnos y contarles cuando estamos en territorio, que estamos haciendo, entonces no sé, vamos a un evento en la Unión, Nariño, donde se va a entregar el primer título para comunidades negras. Entonces, cogemos la bancada de Nariño, independientemente de la filiación política y demás, y les contamos, y ellos valoran tener esa información porque a la final ellos pueden reenviar, compartir, apropiarse un poco del tema y decir, mira, aquí está la Agencia, van a hacer esta feria, este evento, este...  </w:t>
      </w:r>
    </w:p>
    <w:p xmlns:wp14="http://schemas.microsoft.com/office/word/2010/wordml" w:rsidP="758915D9" wp14:paraId="1F81117C" wp14:textId="14D143D5">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Bueno, entonces también ha funcionado un poco, como contarles que estamos haciendo en territorio.  </w:t>
      </w:r>
    </w:p>
    <w:p xmlns:wp14="http://schemas.microsoft.com/office/word/2010/wordml" w:rsidP="758915D9" wp14:paraId="328B8669" wp14:textId="0C463437">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-Verónica (MME):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Había un tema en el primer bloque, alrededor del tema de articulación institucional, para consolidar un discurso nivelado y coherente de la gestión institucional. La pregunta que viene está relacionada, pero trabajaremos la segunda parte de la pregunta, que es: para fortalecer esa coordinación institucional y que se vea algo unificado y algo coordinado, ¿cuáles creerían que pueden ser apuestas o prácticas específicas para eso? O sea, prácticas muy concretas que nos permitan hablar como instituciones de manera coordinada y de manera coherente entre sí.  </w:t>
      </w:r>
    </w:p>
    <w:p xmlns:wp14="http://schemas.microsoft.com/office/word/2010/wordml" w:rsidP="758915D9" wp14:paraId="6CAC11C3" wp14:textId="550122A4">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-Alfredo (UPME):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Este tipo de reuniones de cara al Congreso, sería muy chévere que pudiéramos gestionar estas reuniones con los congresistas y con sus equipos y escuchar cuáles serán sus prioridades frente a los temas. Es decir, si podemos trazar una línea de trabajo a largo plazo y nos vemos más integrados.</w:t>
      </w:r>
    </w:p>
    <w:p xmlns:wp14="http://schemas.microsoft.com/office/word/2010/wordml" w:rsidP="758915D9" wp14:paraId="46361FED" wp14:textId="57C49DB2">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-Paola (ANM):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Esas reuniones sirven no solo para, cuando arranca el nuevo Congreso, presentase como Ministerio, quiénes son nuestras entidades, los enlaces para ponerles rostro y que ellos sepan quién está enlazando qué entidad, y obviamente, ya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de acuerdo al</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tema de gobierno, se les contará cuál es el enfoque que se va a dar en ese periodo de gobierno, pero sí contarlo, porque a veces ellos llegan y no saben y con quién hay que hablar de qué temas. Suele ser que ese primer año ofician muchas cosas erróneamente por el mismo desconocimiento, entonces,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sirve para</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ellos y para nosotros también evitarnos muchos temas erróneos al inicio.</w:t>
      </w:r>
    </w:p>
    <w:p xmlns:wp14="http://schemas.microsoft.com/office/word/2010/wordml" w:rsidP="758915D9" wp14:paraId="5F0DA3E0" wp14:textId="5F901C23">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Y estas reuniones de seguimiento del equipo son buenas, ojalá se pudieran hacer también un poco más segmentadas por temas para no hablar tanto de minería, estando acá Ecopetrol. Por ejemplo, revisemos esta semana que temas hay de minería en el congreso, hay estos proyectos, estas citaciones, nos ha estado pidiendo reunión tal congresista, entre otras cosas y la siguiente semana puede ser con el tema energético. Con eso nos mantendríamos todos conectados en lo que está pasando</w:t>
      </w:r>
    </w:p>
    <w:p xmlns:wp14="http://schemas.microsoft.com/office/word/2010/wordml" w:rsidP="758915D9" wp14:paraId="52F98FD6" wp14:textId="094E7429">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-Adriana (ECOPETROL):</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Yo creo que no solamente la interacción con los congresistas nuevos como que además vienen muchos nuevos en el mundo legislativo, con los secretarios y subsecretarios de las comisiones porque ellos se van a empezar a guiar de estos últimos para hacer las solicitudes al gobierno, entonces lo primero es esa reunión con secretarios de la comisión quinta, incluso a nosotros de tercera nos han pedido cosas. Importante esa introducción para que nos conozcan a nosotros y a ustedes como cabeza de sector</w:t>
      </w:r>
    </w:p>
    <w:p xmlns:wp14="http://schemas.microsoft.com/office/word/2010/wordml" w:rsidP="758915D9" wp14:paraId="02027497" wp14:textId="0484F59D">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-Alfredo (UPME):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Mi experiencia anterior fue con la curul de paz con personas que eran completamente nuevas en la política y muchas reuniones fueron útiles, porque no solamente fueron reuniones como </w:t>
      </w:r>
      <w:r w:rsidRPr="758915D9" w:rsidR="47E01019">
        <w:rPr>
          <w:rFonts w:ascii="Arial" w:hAnsi="Arial" w:eastAsia="Arial" w:cs="Arial"/>
          <w:b w:val="0"/>
          <w:bCs w:val="0"/>
          <w:i w:val="0"/>
          <w:iCs w:val="0"/>
          <w:strike w:val="0"/>
          <w:dstrike w:val="0"/>
          <w:noProof w:val="0"/>
          <w:color w:val="000000" w:themeColor="text1" w:themeTint="FF" w:themeShade="FF"/>
          <w:sz w:val="22"/>
          <w:szCs w:val="22"/>
          <w:u w:val="none"/>
          <w:lang w:val="es-ES"/>
        </w:rPr>
        <w:t>interlocutor,</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sino que también fueron reuniones explicativas con esos sectores. Las prioridades de qué hace el sector de minas y a qué se dedica es clave para que ellos entiendan que van a pedir y dónde lo van a pedir, y no solamente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eso</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sino que tengan un mapa general de cómo funciona el sector. Eso ellos lo agradecen mucho.</w:t>
      </w:r>
    </w:p>
    <w:p xmlns:wp14="http://schemas.microsoft.com/office/word/2010/wordml" w:rsidP="758915D9" wp14:paraId="02CA1F9C" wp14:textId="69D1D0B2">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Verónica (MME): El tercer bloque está pensado sobre las recomendaciones o las estrategias que ustedes pueden evaluar o recomendar para fortalecer la relación entre el sector minero energético y el legislativo, desde su experiencia.  </w:t>
      </w:r>
    </w:p>
    <w:p xmlns:wp14="http://schemas.microsoft.com/office/word/2010/wordml" w:rsidP="758915D9" wp14:paraId="7439D530" wp14:textId="1804E73C">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La primera pregunta es: ¿qué componentes consideran indispensables en una estrategia institucional de relacionamiento con el Congreso desde el sector minero energético?</w:t>
      </w:r>
    </w:p>
    <w:p xmlns:wp14="http://schemas.microsoft.com/office/word/2010/wordml" w:rsidP="758915D9" wp14:paraId="5F58C19D" wp14:textId="322BBB7D">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-Tatiana (ANH):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Lo que estabas diciendo del conocimiento de los temas porque, dentro de las solicitudes que hacen, a la ANH le preguntan algo que tiene que ver con la CREG o con transporte, que no tiene nada que ver con nosotros, porque no tienen conocimiento que es otra cosa, que ellos tuviesen clara esa información ayudaría a direccionar y a enredar menos las preguntas que hacen, que pasa con todas las entidades.</w:t>
      </w:r>
    </w:p>
    <w:p xmlns:wp14="http://schemas.microsoft.com/office/word/2010/wordml" w:rsidP="758915D9" wp14:paraId="5FC8034B" wp14:textId="6718BC92">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-Enrique (SGC):</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Esa resolución de pequeñas solicitudes ayuda mucho luego en la gestión de temas más álgidos</w:t>
      </w:r>
    </w:p>
    <w:p xmlns:wp14="http://schemas.microsoft.com/office/word/2010/wordml" w:rsidP="758915D9" wp14:paraId="4D15EBE1" wp14:textId="23B63E23">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-Verónica (MME):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Para finalizar, me gustaría preguntarles ¿qué tipo de alianzas o coaliciones interinstitucionales podrían fortalecer la capacidad del sector para incidir en el Congreso de una forma más eficaz?</w:t>
      </w:r>
    </w:p>
    <w:p xmlns:wp14="http://schemas.microsoft.com/office/word/2010/wordml" w:rsidP="758915D9" wp14:paraId="39DC7605" wp14:textId="5F38064A">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-Enrique (SGC):</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Ministerio de ambiente y desarrollo sostenible.</w:t>
      </w:r>
    </w:p>
    <w:p xmlns:wp14="http://schemas.microsoft.com/office/word/2010/wordml" w:rsidP="758915D9" wp14:paraId="092544ED" wp14:textId="25951A75">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-Paola (ANM):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Sí, por ejemplo, en nuestro caso, el catastro minero se alimenta con todo el levantamiento de información también de, por ejemplo, las Corporaciones Autónomas Regionales. Muchas de las consultas son ¿por qué se otorgó un título a un área de páramo? Y resulta que ahí no hay páramo, pero entonces era una </w:t>
      </w:r>
      <w:r w:rsidRPr="758915D9" w:rsidR="2E2FB232">
        <w:rPr>
          <w:rFonts w:ascii="Arial" w:hAnsi="Arial" w:eastAsia="Arial" w:cs="Arial"/>
          <w:b w:val="0"/>
          <w:bCs w:val="0"/>
          <w:i w:val="0"/>
          <w:iCs w:val="0"/>
          <w:strike w:val="0"/>
          <w:dstrike w:val="0"/>
          <w:noProof w:val="0"/>
          <w:color w:val="000000" w:themeColor="text1" w:themeTint="FF" w:themeShade="FF"/>
          <w:sz w:val="22"/>
          <w:szCs w:val="22"/>
          <w:u w:val="none"/>
          <w:lang w:val="es-ES"/>
        </w:rPr>
        <w:t>consulta que</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le hubieran podido hacer perfectamente a la Corporación y, como dependemos de tanta información del Min Ambiente, y han salido recientemente tantas resoluciones y demás, que también están rigiendo el sector minero, es clave que tuviésemos ese constante relacionamiento también con ellos, por peticiones que llegan y por consultas que llegan.  </w:t>
      </w:r>
    </w:p>
    <w:p xmlns:wp14="http://schemas.microsoft.com/office/word/2010/wordml" w:rsidP="758915D9" wp14:paraId="0607AE80" wp14:textId="008A4137">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Entonces, el Min Interior nos cobija a todos cuando hace la reunión, pero en nuestro caso, puede ser Min minas y Min ambiente, Min minas y Min agricultura, incluso a veces con la ANT, por temas de tierras y baldíos. Es relacionarnos también con los otros sectores que tienen que ver con minerales.  </w:t>
      </w:r>
    </w:p>
    <w:p xmlns:wp14="http://schemas.microsoft.com/office/word/2010/wordml" w:rsidP="758915D9" wp14:paraId="2A193BBE" wp14:textId="531E5527">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-Enrique (SGC):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También señalas algo importante que es el relacionamiento con las de entidades territoriales. Es importante que también se de esa conversación, porque estamos ahí y podríamos estar, por lo menos, periódicamente informados y listos.  </w:t>
      </w:r>
    </w:p>
    <w:p xmlns:wp14="http://schemas.microsoft.com/office/word/2010/wordml" w:rsidP="758915D9" wp14:paraId="5B9D3483" wp14:textId="4203DB3A">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-Tatiana (ANH):</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 Por ejemplo, la gente de entidades como la Federación de departamentos, FEDEMUNICIPIOS o ASOCAPITALES, que tienen muchos eventos de las cumbres de gobernadores y en esos encuentros. Sería muy bueno que pudiera estar el Ministerio de Minas y Energía, con sus entidades y presentar su oferta institucional para que ellos fuesen también aprendiendo cómo funcionan las cosas en el sector.</w:t>
      </w:r>
    </w:p>
    <w:p xmlns:wp14="http://schemas.microsoft.com/office/word/2010/wordml" w:rsidP="758915D9" wp14:paraId="19A433EA" wp14:textId="55C36F07">
      <w:pPr>
        <w:shd w:val="clear" w:color="auto" w:fill="FFFFFF" w:themeFill="background1"/>
        <w:bidi w:val="0"/>
        <w:spacing w:before="240" w:beforeAutospacing="off" w:after="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Hace poco nos invitaron a un evento de FEDEMUNICIPIOS y un día antes se reunieron solo con los alcaldes de municipios Mineros y pudimos ir y contarles muchas cosas, solventaron dudas, por ejemplo, cómo tramitar una autorización temporal para también como en este ejercicio que estamos entre otras. Entonces son muy valiosos esos espacios con entidades regionales.</w:t>
      </w:r>
    </w:p>
    <w:p xmlns:wp14="http://schemas.microsoft.com/office/word/2010/wordml" w:rsidP="758915D9" wp14:paraId="5C1A07E2" wp14:textId="73D8E00D">
      <w:pPr>
        <w:shd w:val="clear" w:color="auto" w:fill="FFFFFF" w:themeFill="background1"/>
        <w:bidi w:val="0"/>
        <w:spacing w:before="240" w:beforeAutospacing="off" w:after="160" w:afterAutospacing="off" w:line="276" w:lineRule="auto"/>
        <w:jc w:val="both"/>
        <w:rPr>
          <w:rFonts w:ascii="Arial" w:hAnsi="Arial" w:eastAsia="Arial" w:cs="Arial"/>
          <w:b w:val="0"/>
          <w:bCs w:val="0"/>
          <w:i w:val="0"/>
          <w:iCs w:val="0"/>
          <w:strike w:val="0"/>
          <w:dstrike w:val="0"/>
          <w:noProof w:val="0"/>
          <w:color w:val="000000" w:themeColor="text1" w:themeTint="FF" w:themeShade="FF"/>
          <w:sz w:val="22"/>
          <w:szCs w:val="22"/>
          <w:u w:val="none"/>
          <w:lang w:val="es-ES"/>
        </w:rPr>
      </w:pPr>
      <w:r w:rsidRPr="758915D9" w:rsidR="7E85FF1B">
        <w:rPr>
          <w:rFonts w:ascii="Arial" w:hAnsi="Arial" w:eastAsia="Arial" w:cs="Arial"/>
          <w:b w:val="1"/>
          <w:bCs w:val="1"/>
          <w:i w:val="0"/>
          <w:iCs w:val="0"/>
          <w:strike w:val="0"/>
          <w:dstrike w:val="0"/>
          <w:noProof w:val="0"/>
          <w:color w:val="000000" w:themeColor="text1" w:themeTint="FF" w:themeShade="FF"/>
          <w:sz w:val="22"/>
          <w:szCs w:val="22"/>
          <w:u w:val="none"/>
          <w:lang w:val="es-ES"/>
        </w:rPr>
        <w:t xml:space="preserve">-Verónica (MME): </w:t>
      </w:r>
      <w:r w:rsidRPr="758915D9" w:rsidR="7E85FF1B">
        <w:rPr>
          <w:rFonts w:ascii="Arial" w:hAnsi="Arial" w:eastAsia="Arial" w:cs="Arial"/>
          <w:b w:val="0"/>
          <w:bCs w:val="0"/>
          <w:i w:val="0"/>
          <w:iCs w:val="0"/>
          <w:strike w:val="0"/>
          <w:dstrike w:val="0"/>
          <w:noProof w:val="0"/>
          <w:color w:val="000000" w:themeColor="text1" w:themeTint="FF" w:themeShade="FF"/>
          <w:sz w:val="22"/>
          <w:szCs w:val="22"/>
          <w:u w:val="none"/>
          <w:lang w:val="es-ES"/>
        </w:rPr>
        <w:t xml:space="preserve">Muchísimas gracias por su tiempo, por su compromiso, por la disposición, el espacio y por ayudarnos en este ejercicio que estamos realizando, para conocer un poco más y para fortalecer también las nociones que tenemos alrededor del sector minero energético desde las estrategias legislativas y también desde el relacionamiento interinstitucional.  </w:t>
      </w:r>
    </w:p>
    <w:sectPr>
      <w:pgSz w:w="11906" w:h="16838" w:orient="portrait"/>
      <w:pgMar w:top="1440" w:right="1440" w:bottom="1440" w:left="1440" w:header="720" w:footer="720" w:gutter="0"/>
      <w:cols w:space="720"/>
      <w:docGrid w:linePitch="360"/>
      <w:headerReference w:type="default" r:id="Rfc83154eaf5f4b0e"/>
      <w:footerReference w:type="default" r:id="R7e563ca5c637418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758915D9" w:rsidTr="758915D9" w14:paraId="1F0C727C">
      <w:trPr>
        <w:trHeight w:val="300"/>
      </w:trPr>
      <w:tc>
        <w:tcPr>
          <w:tcW w:w="3005" w:type="dxa"/>
          <w:tcMar/>
        </w:tcPr>
        <w:p w:rsidR="758915D9" w:rsidP="758915D9" w:rsidRDefault="758915D9" w14:paraId="4D065CF5" w14:textId="6782B66C">
          <w:pPr>
            <w:pStyle w:val="Header"/>
            <w:bidi w:val="0"/>
            <w:ind w:left="-115"/>
            <w:jc w:val="left"/>
          </w:pPr>
        </w:p>
      </w:tc>
      <w:tc>
        <w:tcPr>
          <w:tcW w:w="3005" w:type="dxa"/>
          <w:tcMar/>
        </w:tcPr>
        <w:p w:rsidR="758915D9" w:rsidP="758915D9" w:rsidRDefault="758915D9" w14:paraId="6EC3BB29" w14:textId="5E290731">
          <w:pPr>
            <w:pStyle w:val="Header"/>
            <w:bidi w:val="0"/>
            <w:jc w:val="center"/>
          </w:pPr>
        </w:p>
      </w:tc>
      <w:tc>
        <w:tcPr>
          <w:tcW w:w="3005" w:type="dxa"/>
          <w:tcMar/>
        </w:tcPr>
        <w:p w:rsidR="758915D9" w:rsidP="758915D9" w:rsidRDefault="758915D9" w14:paraId="67533AC2" w14:textId="6BF55BCD">
          <w:pPr>
            <w:pStyle w:val="Header"/>
            <w:bidi w:val="0"/>
            <w:ind w:right="-115"/>
            <w:jc w:val="right"/>
          </w:pPr>
        </w:p>
      </w:tc>
    </w:tr>
  </w:tbl>
  <w:p w:rsidR="758915D9" w:rsidP="758915D9" w:rsidRDefault="758915D9" w14:paraId="6511EC70" w14:textId="63418B6F">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758915D9" w:rsidTr="758915D9" w14:paraId="6D6005EF">
      <w:trPr>
        <w:trHeight w:val="300"/>
      </w:trPr>
      <w:tc>
        <w:tcPr>
          <w:tcW w:w="3005" w:type="dxa"/>
          <w:tcMar/>
        </w:tcPr>
        <w:p w:rsidR="758915D9" w:rsidP="758915D9" w:rsidRDefault="758915D9" w14:paraId="5FE1B78C" w14:textId="4A54DCCF">
          <w:pPr>
            <w:pStyle w:val="Header"/>
            <w:bidi w:val="0"/>
            <w:ind w:left="-115"/>
            <w:jc w:val="left"/>
          </w:pPr>
        </w:p>
      </w:tc>
      <w:tc>
        <w:tcPr>
          <w:tcW w:w="3005" w:type="dxa"/>
          <w:tcMar/>
        </w:tcPr>
        <w:p w:rsidR="758915D9" w:rsidP="758915D9" w:rsidRDefault="758915D9" w14:paraId="0294854F" w14:textId="607EE354">
          <w:pPr>
            <w:pStyle w:val="Header"/>
            <w:bidi w:val="0"/>
            <w:jc w:val="center"/>
          </w:pPr>
          <w:r w:rsidR="758915D9">
            <w:drawing>
              <wp:inline wp14:editId="5BED70CC" wp14:anchorId="4144BFD7">
                <wp:extent cx="1170164" cy="1019175"/>
                <wp:effectExtent l="0" t="0" r="0" b="0"/>
                <wp:docPr id="137890979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378909799" name="Picture 1378909799"/>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720629966">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rot="0">
                          <a:off xmlns:a="http://schemas.openxmlformats.org/drawingml/2006/main" x="0" y="0"/>
                          <a:ext xmlns:a="http://schemas.openxmlformats.org/drawingml/2006/main" cx="1170164" cy="1019175"/>
                        </a:xfrm>
                        <a:prstGeom xmlns:a="http://schemas.openxmlformats.org/drawingml/2006/main" prst="rect">
                          <a:avLst xmlns:a="http://schemas.openxmlformats.org/drawingml/2006/main"/>
                        </a:prstGeom>
                      </pic:spPr>
                    </pic:pic>
                  </a:graphicData>
                </a:graphic>
              </wp:inline>
            </w:drawing>
          </w:r>
        </w:p>
      </w:tc>
      <w:tc>
        <w:tcPr>
          <w:tcW w:w="3005" w:type="dxa"/>
          <w:tcMar/>
        </w:tcPr>
        <w:p w:rsidR="758915D9" w:rsidP="758915D9" w:rsidRDefault="758915D9" w14:paraId="70239E39" w14:textId="2621BFF9">
          <w:pPr>
            <w:pStyle w:val="Header"/>
            <w:bidi w:val="0"/>
            <w:ind w:right="-115"/>
            <w:jc w:val="right"/>
          </w:pPr>
        </w:p>
      </w:tc>
    </w:tr>
  </w:tbl>
  <w:p w:rsidR="758915D9" w:rsidP="758915D9" w:rsidRDefault="758915D9" w14:paraId="4ED48692" w14:textId="77BC4818">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E336B8"/>
    <w:rsid w:val="0097E938"/>
    <w:rsid w:val="009D79D8"/>
    <w:rsid w:val="01AE394C"/>
    <w:rsid w:val="026E2EA6"/>
    <w:rsid w:val="02E1E633"/>
    <w:rsid w:val="02F83597"/>
    <w:rsid w:val="03065EB8"/>
    <w:rsid w:val="033711E2"/>
    <w:rsid w:val="034E3E4E"/>
    <w:rsid w:val="03EC461B"/>
    <w:rsid w:val="052214F8"/>
    <w:rsid w:val="054B8C87"/>
    <w:rsid w:val="05922C87"/>
    <w:rsid w:val="06555B75"/>
    <w:rsid w:val="06CADD8E"/>
    <w:rsid w:val="07146C6F"/>
    <w:rsid w:val="0797A503"/>
    <w:rsid w:val="0810DEEC"/>
    <w:rsid w:val="081B2E7F"/>
    <w:rsid w:val="0833632A"/>
    <w:rsid w:val="08673CA8"/>
    <w:rsid w:val="091B1ACB"/>
    <w:rsid w:val="0939CD76"/>
    <w:rsid w:val="0939CD76"/>
    <w:rsid w:val="0AD3905C"/>
    <w:rsid w:val="0B3EC796"/>
    <w:rsid w:val="0B5F66F0"/>
    <w:rsid w:val="0C271A72"/>
    <w:rsid w:val="0C3B9AF4"/>
    <w:rsid w:val="0C45D702"/>
    <w:rsid w:val="0C9C1394"/>
    <w:rsid w:val="0CE20C77"/>
    <w:rsid w:val="0D40E941"/>
    <w:rsid w:val="0D915910"/>
    <w:rsid w:val="0DAEA266"/>
    <w:rsid w:val="0DB5CE10"/>
    <w:rsid w:val="0E755A63"/>
    <w:rsid w:val="0FECB55D"/>
    <w:rsid w:val="1119355A"/>
    <w:rsid w:val="116BC63A"/>
    <w:rsid w:val="118BCE65"/>
    <w:rsid w:val="1196A167"/>
    <w:rsid w:val="13060CEB"/>
    <w:rsid w:val="13060CEB"/>
    <w:rsid w:val="135AC4FD"/>
    <w:rsid w:val="13CE8EA7"/>
    <w:rsid w:val="140233B4"/>
    <w:rsid w:val="14063EC5"/>
    <w:rsid w:val="14AB3CD7"/>
    <w:rsid w:val="14C1BB38"/>
    <w:rsid w:val="1533F50B"/>
    <w:rsid w:val="15458D7E"/>
    <w:rsid w:val="15CEFACF"/>
    <w:rsid w:val="15D11A87"/>
    <w:rsid w:val="16C4BF17"/>
    <w:rsid w:val="17245491"/>
    <w:rsid w:val="1919AB28"/>
    <w:rsid w:val="194BEF52"/>
    <w:rsid w:val="19667526"/>
    <w:rsid w:val="19FBD2D3"/>
    <w:rsid w:val="1A6529A5"/>
    <w:rsid w:val="1A8D5D9A"/>
    <w:rsid w:val="1AFF857C"/>
    <w:rsid w:val="1B1C481A"/>
    <w:rsid w:val="1B32191D"/>
    <w:rsid w:val="1BB2D6C2"/>
    <w:rsid w:val="1BD1AB7F"/>
    <w:rsid w:val="1BD1AB7F"/>
    <w:rsid w:val="1C446A6F"/>
    <w:rsid w:val="1C5EF709"/>
    <w:rsid w:val="1C7299E4"/>
    <w:rsid w:val="1D1D4445"/>
    <w:rsid w:val="1D48BEB9"/>
    <w:rsid w:val="1DC2F68C"/>
    <w:rsid w:val="1DF11411"/>
    <w:rsid w:val="1E13A4D9"/>
    <w:rsid w:val="1EC553B5"/>
    <w:rsid w:val="1F5D8804"/>
    <w:rsid w:val="1F773B2A"/>
    <w:rsid w:val="1F8759CB"/>
    <w:rsid w:val="1F9BD276"/>
    <w:rsid w:val="20CCD53B"/>
    <w:rsid w:val="21215FE1"/>
    <w:rsid w:val="214D0AD2"/>
    <w:rsid w:val="214D0AD2"/>
    <w:rsid w:val="21FD5377"/>
    <w:rsid w:val="2213A47C"/>
    <w:rsid w:val="2216FA50"/>
    <w:rsid w:val="2218CAC9"/>
    <w:rsid w:val="22361B8F"/>
    <w:rsid w:val="230FF824"/>
    <w:rsid w:val="2392AA7A"/>
    <w:rsid w:val="23DEFADB"/>
    <w:rsid w:val="24300448"/>
    <w:rsid w:val="2455B68E"/>
    <w:rsid w:val="24711C5D"/>
    <w:rsid w:val="24A1654F"/>
    <w:rsid w:val="24A9D5A1"/>
    <w:rsid w:val="24ABAFDE"/>
    <w:rsid w:val="251C9C2A"/>
    <w:rsid w:val="25E5B1E5"/>
    <w:rsid w:val="25F7BE15"/>
    <w:rsid w:val="2681E7D9"/>
    <w:rsid w:val="26CFE7C5"/>
    <w:rsid w:val="2722F22E"/>
    <w:rsid w:val="2736E172"/>
    <w:rsid w:val="276E70CF"/>
    <w:rsid w:val="292B235E"/>
    <w:rsid w:val="293B0A33"/>
    <w:rsid w:val="2A043E38"/>
    <w:rsid w:val="2A0DD572"/>
    <w:rsid w:val="2A306271"/>
    <w:rsid w:val="2A5C0647"/>
    <w:rsid w:val="2A7F8F2C"/>
    <w:rsid w:val="2ADA0DC2"/>
    <w:rsid w:val="2B88BE7F"/>
    <w:rsid w:val="2B9946ED"/>
    <w:rsid w:val="2BA9B528"/>
    <w:rsid w:val="2BB863A5"/>
    <w:rsid w:val="2BCF48D7"/>
    <w:rsid w:val="2C37D505"/>
    <w:rsid w:val="2D19AFF5"/>
    <w:rsid w:val="2DAEF224"/>
    <w:rsid w:val="2DE0E3BB"/>
    <w:rsid w:val="2E0BDBEF"/>
    <w:rsid w:val="2E2FB232"/>
    <w:rsid w:val="2E314550"/>
    <w:rsid w:val="2ECD168F"/>
    <w:rsid w:val="2ECD168F"/>
    <w:rsid w:val="2F059ECE"/>
    <w:rsid w:val="2F7BB33E"/>
    <w:rsid w:val="2F838A68"/>
    <w:rsid w:val="2FE79782"/>
    <w:rsid w:val="31CA8FCA"/>
    <w:rsid w:val="32C8E088"/>
    <w:rsid w:val="32F8B581"/>
    <w:rsid w:val="33C568C1"/>
    <w:rsid w:val="346098B6"/>
    <w:rsid w:val="348CA892"/>
    <w:rsid w:val="357DE7F4"/>
    <w:rsid w:val="36006CFD"/>
    <w:rsid w:val="3668B945"/>
    <w:rsid w:val="36840A69"/>
    <w:rsid w:val="3789F1DC"/>
    <w:rsid w:val="379B46E8"/>
    <w:rsid w:val="37F65FBC"/>
    <w:rsid w:val="3800CE00"/>
    <w:rsid w:val="38671499"/>
    <w:rsid w:val="387E5DF1"/>
    <w:rsid w:val="38D19C44"/>
    <w:rsid w:val="38F4BF92"/>
    <w:rsid w:val="3904BA99"/>
    <w:rsid w:val="3958C7AD"/>
    <w:rsid w:val="398B0C71"/>
    <w:rsid w:val="3A0C03A1"/>
    <w:rsid w:val="3A612B6F"/>
    <w:rsid w:val="3A6EA83B"/>
    <w:rsid w:val="3A8F84F0"/>
    <w:rsid w:val="3AADA576"/>
    <w:rsid w:val="3ADAF526"/>
    <w:rsid w:val="3B05D298"/>
    <w:rsid w:val="3B8400A1"/>
    <w:rsid w:val="3BFB61DC"/>
    <w:rsid w:val="3C2D3ABA"/>
    <w:rsid w:val="3C5AA7F0"/>
    <w:rsid w:val="3C650B59"/>
    <w:rsid w:val="3C88B4B3"/>
    <w:rsid w:val="3D9C0858"/>
    <w:rsid w:val="3DAAEEBD"/>
    <w:rsid w:val="3E06C7F8"/>
    <w:rsid w:val="3E15426B"/>
    <w:rsid w:val="3E87DB20"/>
    <w:rsid w:val="3EE6D334"/>
    <w:rsid w:val="3F1CFACB"/>
    <w:rsid w:val="3F36C93B"/>
    <w:rsid w:val="3F36C93B"/>
    <w:rsid w:val="3FF8DF29"/>
    <w:rsid w:val="400294B2"/>
    <w:rsid w:val="401230CB"/>
    <w:rsid w:val="40E7E849"/>
    <w:rsid w:val="40E7E849"/>
    <w:rsid w:val="40EEEE49"/>
    <w:rsid w:val="41316E7F"/>
    <w:rsid w:val="419A112C"/>
    <w:rsid w:val="428C4344"/>
    <w:rsid w:val="432B4E64"/>
    <w:rsid w:val="4331E418"/>
    <w:rsid w:val="43C9D265"/>
    <w:rsid w:val="4412F9EF"/>
    <w:rsid w:val="44873A08"/>
    <w:rsid w:val="44B361D7"/>
    <w:rsid w:val="44D3602D"/>
    <w:rsid w:val="45DDBEAB"/>
    <w:rsid w:val="4686D680"/>
    <w:rsid w:val="46CBB7B0"/>
    <w:rsid w:val="47313221"/>
    <w:rsid w:val="475A3215"/>
    <w:rsid w:val="47A998B2"/>
    <w:rsid w:val="47E01019"/>
    <w:rsid w:val="4861D943"/>
    <w:rsid w:val="498478D8"/>
    <w:rsid w:val="4A8879F4"/>
    <w:rsid w:val="4ACAF782"/>
    <w:rsid w:val="4AE3F887"/>
    <w:rsid w:val="4B549EFB"/>
    <w:rsid w:val="4BD953DA"/>
    <w:rsid w:val="4BDE15DE"/>
    <w:rsid w:val="4BEB39A0"/>
    <w:rsid w:val="4C4A6865"/>
    <w:rsid w:val="4D40AE2E"/>
    <w:rsid w:val="4E62F31E"/>
    <w:rsid w:val="4E62F31E"/>
    <w:rsid w:val="4E7E782F"/>
    <w:rsid w:val="4E9A2E21"/>
    <w:rsid w:val="4EB286C5"/>
    <w:rsid w:val="4EF6413D"/>
    <w:rsid w:val="4FAA826F"/>
    <w:rsid w:val="4FCB3F55"/>
    <w:rsid w:val="4FCC22C1"/>
    <w:rsid w:val="5013E918"/>
    <w:rsid w:val="5013E918"/>
    <w:rsid w:val="501D5006"/>
    <w:rsid w:val="503294B1"/>
    <w:rsid w:val="508F5A3F"/>
    <w:rsid w:val="50A3B8F9"/>
    <w:rsid w:val="50A4EB1B"/>
    <w:rsid w:val="50A6266D"/>
    <w:rsid w:val="52C4760E"/>
    <w:rsid w:val="53070195"/>
    <w:rsid w:val="536747C9"/>
    <w:rsid w:val="53BDC38F"/>
    <w:rsid w:val="53C1FC44"/>
    <w:rsid w:val="53C79192"/>
    <w:rsid w:val="547BAFEE"/>
    <w:rsid w:val="54A152BC"/>
    <w:rsid w:val="54A152BC"/>
    <w:rsid w:val="54F18EB0"/>
    <w:rsid w:val="554CBC3C"/>
    <w:rsid w:val="55D6E54B"/>
    <w:rsid w:val="5665488C"/>
    <w:rsid w:val="5665488C"/>
    <w:rsid w:val="56D19CF1"/>
    <w:rsid w:val="56E336B8"/>
    <w:rsid w:val="574DF77D"/>
    <w:rsid w:val="575F10E8"/>
    <w:rsid w:val="577A419B"/>
    <w:rsid w:val="57A3A11D"/>
    <w:rsid w:val="580B6B21"/>
    <w:rsid w:val="598AD485"/>
    <w:rsid w:val="598AD485"/>
    <w:rsid w:val="599A2674"/>
    <w:rsid w:val="59DD7B0D"/>
    <w:rsid w:val="5A2ADEA0"/>
    <w:rsid w:val="5AD92B3B"/>
    <w:rsid w:val="5AD93368"/>
    <w:rsid w:val="5B0A1C77"/>
    <w:rsid w:val="5BC1AF65"/>
    <w:rsid w:val="5BF3B2D3"/>
    <w:rsid w:val="5CA2233E"/>
    <w:rsid w:val="5CBBEE37"/>
    <w:rsid w:val="5CCEF13F"/>
    <w:rsid w:val="5CCEF13F"/>
    <w:rsid w:val="5D5D7CDF"/>
    <w:rsid w:val="5E044D8E"/>
    <w:rsid w:val="5E2EE255"/>
    <w:rsid w:val="5FE7B9E2"/>
    <w:rsid w:val="60797006"/>
    <w:rsid w:val="60E27F77"/>
    <w:rsid w:val="610C4E1D"/>
    <w:rsid w:val="6134A90E"/>
    <w:rsid w:val="61473887"/>
    <w:rsid w:val="616907AE"/>
    <w:rsid w:val="61CF2C36"/>
    <w:rsid w:val="61CF2C36"/>
    <w:rsid w:val="61D1BEF2"/>
    <w:rsid w:val="6248CCD5"/>
    <w:rsid w:val="6300284D"/>
    <w:rsid w:val="63097A08"/>
    <w:rsid w:val="632EEDBF"/>
    <w:rsid w:val="63CB19E6"/>
    <w:rsid w:val="63DC4C64"/>
    <w:rsid w:val="63F14AE7"/>
    <w:rsid w:val="64D15AE2"/>
    <w:rsid w:val="64E09C1B"/>
    <w:rsid w:val="65079366"/>
    <w:rsid w:val="65079366"/>
    <w:rsid w:val="653C686D"/>
    <w:rsid w:val="65748152"/>
    <w:rsid w:val="658BCCEF"/>
    <w:rsid w:val="659C0D75"/>
    <w:rsid w:val="65A0D2EF"/>
    <w:rsid w:val="65A0D2EF"/>
    <w:rsid w:val="65C60C74"/>
    <w:rsid w:val="660F0DD2"/>
    <w:rsid w:val="66508E4F"/>
    <w:rsid w:val="678A68A4"/>
    <w:rsid w:val="678A68A4"/>
    <w:rsid w:val="67D4C186"/>
    <w:rsid w:val="67D7D83B"/>
    <w:rsid w:val="68F03A9F"/>
    <w:rsid w:val="690976E2"/>
    <w:rsid w:val="6958EB3F"/>
    <w:rsid w:val="699CB881"/>
    <w:rsid w:val="69DEEE18"/>
    <w:rsid w:val="6A8E336F"/>
    <w:rsid w:val="6B863C1B"/>
    <w:rsid w:val="6BCE1C6A"/>
    <w:rsid w:val="6BF18F78"/>
    <w:rsid w:val="6C2F1B32"/>
    <w:rsid w:val="6DA720D7"/>
    <w:rsid w:val="6E8D56A3"/>
    <w:rsid w:val="6E918350"/>
    <w:rsid w:val="6E96D666"/>
    <w:rsid w:val="6EB8CE4C"/>
    <w:rsid w:val="6EDEA722"/>
    <w:rsid w:val="6F2A155C"/>
    <w:rsid w:val="6F4E1747"/>
    <w:rsid w:val="6FE13E78"/>
    <w:rsid w:val="6FE13E78"/>
    <w:rsid w:val="701247B8"/>
    <w:rsid w:val="701247B8"/>
    <w:rsid w:val="70348B8E"/>
    <w:rsid w:val="703E2662"/>
    <w:rsid w:val="71632872"/>
    <w:rsid w:val="71768FC3"/>
    <w:rsid w:val="71945A8B"/>
    <w:rsid w:val="71C56686"/>
    <w:rsid w:val="71DB2DD2"/>
    <w:rsid w:val="71DB4C5E"/>
    <w:rsid w:val="72041CA9"/>
    <w:rsid w:val="722A061D"/>
    <w:rsid w:val="7295CAEF"/>
    <w:rsid w:val="74E2CC87"/>
    <w:rsid w:val="758915D9"/>
    <w:rsid w:val="76959BCA"/>
    <w:rsid w:val="771F852F"/>
    <w:rsid w:val="7780D91F"/>
    <w:rsid w:val="77CB4DEA"/>
    <w:rsid w:val="77D39404"/>
    <w:rsid w:val="7831F0BF"/>
    <w:rsid w:val="795A059D"/>
    <w:rsid w:val="795A059D"/>
    <w:rsid w:val="798F371C"/>
    <w:rsid w:val="7A3A0331"/>
    <w:rsid w:val="7A566506"/>
    <w:rsid w:val="7A9143BA"/>
    <w:rsid w:val="7B0819AA"/>
    <w:rsid w:val="7B258184"/>
    <w:rsid w:val="7B744851"/>
    <w:rsid w:val="7BEEB643"/>
    <w:rsid w:val="7C0A865C"/>
    <w:rsid w:val="7C0A865C"/>
    <w:rsid w:val="7C709719"/>
    <w:rsid w:val="7D6B4AC3"/>
    <w:rsid w:val="7DCBC39E"/>
    <w:rsid w:val="7DEE6BC3"/>
    <w:rsid w:val="7DEE6BC3"/>
    <w:rsid w:val="7DFFA4AE"/>
    <w:rsid w:val="7E84706C"/>
    <w:rsid w:val="7E85FF1B"/>
    <w:rsid w:val="7E90BD26"/>
    <w:rsid w:val="7EA38995"/>
    <w:rsid w:val="7EA861F4"/>
    <w:rsid w:val="7EB257CB"/>
    <w:rsid w:val="7F4AA1F3"/>
    <w:rsid w:val="7FA76E0F"/>
    <w:rsid w:val="7FA9712A"/>
    <w:rsid w:val="7FA9712A"/>
    <w:rsid w:val="7FD8A3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84587"/>
  <w15:chartTrackingRefBased/>
  <w15:docId w15:val="{5EFEF26A-5ED3-4729-ACF5-1CBDE34B37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Header">
    <w:uiPriority w:val="99"/>
    <w:name w:val="header"/>
    <w:basedOn w:val="Normal"/>
    <w:unhideWhenUsed/>
    <w:rsid w:val="758915D9"/>
    <w:pPr>
      <w:tabs>
        <w:tab w:val="center" w:leader="none" w:pos="4680"/>
        <w:tab w:val="right" w:leader="none" w:pos="9360"/>
      </w:tabs>
      <w:spacing w:after="0" w:line="240" w:lineRule="auto"/>
    </w:pPr>
  </w:style>
  <w:style w:type="paragraph" w:styleId="Footer">
    <w:uiPriority w:val="99"/>
    <w:name w:val="footer"/>
    <w:basedOn w:val="Normal"/>
    <w:unhideWhenUsed/>
    <w:rsid w:val="758915D9"/>
    <w:pPr>
      <w:tabs>
        <w:tab w:val="center" w:leader="none" w:pos="4680"/>
        <w:tab w:val="right" w:leader="none"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fc83154eaf5f4b0e" /><Relationship Type="http://schemas.openxmlformats.org/officeDocument/2006/relationships/footer" Target="footer.xml" Id="R7e563ca5c637418e" /></Relationships>
</file>

<file path=word/_rels/header.xml.rels>&#65279;<?xml version="1.0" encoding="utf-8"?><Relationships xmlns="http://schemas.openxmlformats.org/package/2006/relationships"><Relationship Type="http://schemas.openxmlformats.org/officeDocument/2006/relationships/image" Target="/media/image.png" Id="rId72062996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0dfda8942a5c79331ee6e0d1f814189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4d313df37cc51e578daa7f6737a4aa7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A1E18E-BA44-415E-A2B9-C726B156F3DC}"/>
</file>

<file path=customXml/itemProps2.xml><?xml version="1.0" encoding="utf-8"?>
<ds:datastoreItem xmlns:ds="http://schemas.openxmlformats.org/officeDocument/2006/customXml" ds:itemID="{B80F9691-05DD-4A68-A146-11DADD65BE8D}"/>
</file>

<file path=customXml/itemProps3.xml><?xml version="1.0" encoding="utf-8"?>
<ds:datastoreItem xmlns:ds="http://schemas.openxmlformats.org/officeDocument/2006/customXml" ds:itemID="{86AE9AFA-BA36-4E54-816B-D85C48D4B4D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ASUNTOS LEGISLATIVOS MINMINAS</dc:creator>
  <cp:keywords/>
  <dc:description/>
  <cp:lastModifiedBy>CLAUDIA MARCELA PINZON ROJAS</cp:lastModifiedBy>
  <dcterms:created xsi:type="dcterms:W3CDTF">2026-05-11T21:54:39Z</dcterms:created>
  <dcterms:modified xsi:type="dcterms:W3CDTF">2026-07-01T04:02:26Z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y fmtid="{D5CDD505-2E9C-101B-9397-08002B2CF9AE}" pid="3" name="MediaServiceImageTags">
    <vt:lpwstr/>
  </property>
</Properties>
</file>